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rPr>
          <w:rFonts w:hint="default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福州软件职业技术学院</w:t>
      </w:r>
      <w:r>
        <w:rPr>
          <w:rFonts w:hint="default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线上教学情况</w:t>
      </w:r>
      <w:r>
        <w:rPr>
          <w:rFonts w:hint="eastAsia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监控</w:t>
      </w:r>
      <w:r>
        <w:rPr>
          <w:rFonts w:hint="default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简报</w:t>
      </w:r>
    </w:p>
    <w:p>
      <w:pPr>
        <w:keepNext w:val="0"/>
        <w:keepLines w:val="0"/>
        <w:pageBreakBefore w:val="0"/>
        <w:widowControl/>
        <w:tabs>
          <w:tab w:val="left" w:pos="326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eastAsia="宋体"/>
          <w:color w:val="auto"/>
          <w:sz w:val="36"/>
          <w:szCs w:val="36"/>
          <w:lang w:val="en-US" w:eastAsia="zh-CN"/>
        </w:rPr>
      </w:pPr>
      <w:r>
        <w:rPr>
          <w:rFonts w:hint="eastAsia" w:ascii="黑体;" w:hAnsi="黑体;" w:eastAsia="黑体;" w:cs="黑体;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（2020年第2期）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本学期开学第二周（3月2日—3月6日），教学质量监控与评价中心、教务科研处、各二级教学单位坚持开展“教师线上教学工作日志”日报制、期初线上教学检查、督导线上听评课、巡课、学生线上评教、学生线上学情调研等工作，持续保障我院线上教学质量。现将学院线上教学情况监控简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28"/>
          <w:szCs w:val="28"/>
          <w:u w:val="none"/>
          <w:lang w:val="en-US" w:eastAsia="zh-CN"/>
        </w:rPr>
        <w:t>第一部分  线上教学运行总体平稳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一、经二级教学单位督导小组自查、教学质量监控与评价中心、教务科研处抽查，第二周大部分授课教师都有按课表正常开展教学工作，仅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智能产业学院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有8门课程未开。经监测，其中有2门课程，主要原因为，课程由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网大兼职教师授课，接课时已临近开学，且需要智能产业学院提供课件，平时要上班，备课时间不足，为保证教学质量，故延迟一周开课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。另外有6门课程，由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QA兼职教师授课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QA测试类负责人反馈：因疫情影响，讲师不好找，都在家远程办公，手上的工作比较多，部门已下单给各组处经理收集福软兼职讲师的名单，已找到5位讲师，为充分备课，保证课程质量，课程延后至第四周开课。（详见表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二、经“教师线上教学工作日志”日报监测，3月6日，龚彩虹（网大兼职教师）在结束《nosql数据库教程》课程授课后，未及时填报“教师线上教学工作日志”。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三、经统计，第二周学院累计线上开课356门，环比增加8门；开课节数959节，环比增加31节。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四、经统计，第二周教师累计线上教学323人次，环比增加7人次；批改作业7009次，环比增加1981次；开展线上教学互动（小组PK、头脑风暴、讨论、投票等）1439次，环比增加314次。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五、经统计，第二周学生累计线上签到29852人次，环比增加2594人次；日均签到5970人次，环比增加518人次；日平均到课率93.95%，环比减少0.25% ；课件学习137718次，环比增加113355次；做题21787道，环比减少29503道；对课堂评价五星（最高等级）10711次，环比减少1380次。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经教学质量监控与评价中心论证，学生日平均到课率93.95%，环比减少0.25%，在正常浮动范围内；学生对课堂评价五星（最高等级）10711次，环比减少1380次，其主要原因是线上教学课后评价为非强制性评价，随学生主观变化而波动，属正常现象；学生做题21787道，环比减少29503道，而学生课件学习137718次，环比增加113355次，根据督导线上听评课、巡课监测，部分教师在第二周将课后复习、课前预习布置为课程作业，故属正常现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left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综上所述，我院第二周线上教学大部分指标呈增长趋势，教学运行平稳。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jc w:val="center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  <w:t>表一  第二周未开课情况表</w:t>
      </w:r>
    </w:p>
    <w:tbl>
      <w:tblPr>
        <w:tblStyle w:val="7"/>
        <w:tblW w:w="82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648"/>
        <w:gridCol w:w="1124"/>
        <w:gridCol w:w="438"/>
        <w:gridCol w:w="438"/>
        <w:gridCol w:w="834"/>
        <w:gridCol w:w="1070"/>
        <w:gridCol w:w="438"/>
        <w:gridCol w:w="28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未开课原因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汇编语言基础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叶爱玉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19信息安全与管理1、2班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网大兼职教师，接课时已临近开学，且需要智能产业学院提供课件，平时要上班，备课时间不足，为保证教学质量，故延迟一周开课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stm32嵌入式系统设计与应用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18物联网工程技术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软件测试管理及实践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18软件技术1、2班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QA测试类负责人反馈：因疫情影响，讲师不好找，都在家远程办公，手上的工作比较多，部门已下单给各组处经理收集福软兼职讲师的名单，已找到5位讲师，为充分备课，保证课程质量，课程延后至第四周开课。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接口测试及实践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18软件技术1、2班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软件测试管理及实践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18软件测试1、2班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接口测试及实践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18软件测试1、2班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软件测试管理及实践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18智能APP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接口测试及实践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18智能APP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  <w:t>表二  第二周学院线上教学情况表</w:t>
      </w:r>
    </w:p>
    <w:tbl>
      <w:tblPr>
        <w:tblStyle w:val="7"/>
        <w:tblW w:w="72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452"/>
        <w:gridCol w:w="1452"/>
        <w:gridCol w:w="14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二级教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门次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开课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节次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教师线上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教学人次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学生学习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门次数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智能产业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游戏产业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经济管理系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建筑工程系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公共基础部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第二部分  学院学生线上学情调研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对象为我院201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2019级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时间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日-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通过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线上向学院2464位注册同学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发放问卷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（其中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8级注册数909人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2019级注册数1555人）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共回收答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1972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回收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比例达到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80.03%。经第一次审核，有效答卷1790份，无效答卷182份（排除答卷时间少于等于72秒和有明显奇异点的答卷）。为确保问卷真实准确性，教学质量监控与评价中心继续在1790份有效问卷中抽取179份答卷，进行二次审核。经查全部有效，故本次调研问卷有效卷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1790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份，无效问卷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182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份，问卷有效率90.77%，有效抽样率72.65%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。经分析整合，调研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对象的基本情况如下：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 福州软件职业技术学院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对象的基本情况</w:t>
      </w:r>
    </w:p>
    <w:tbl>
      <w:tblPr>
        <w:tblStyle w:val="8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949"/>
        <w:gridCol w:w="170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4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4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人数（人）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所占比例（%）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二级教学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智能产业学院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46.37%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游戏产业学院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建筑工程系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经济管理系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年级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2019级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1219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2018级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生源地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城镇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55.87%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 福州软件职业技术学院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基本情况</w:t>
      </w:r>
    </w:p>
    <w:tbl>
      <w:tblPr>
        <w:tblStyle w:val="7"/>
        <w:tblW w:w="645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1836"/>
        <w:gridCol w:w="18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人数（人）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所占比例（%）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软件技术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23.13%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信息安全与管理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3.85%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数字媒体应用技术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3.41%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大数据技术与应用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移动互联应用技术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智能终端技术与应用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2.40%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物联网工程技术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动漫制作技术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视觉传播设计与制作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智能产品开发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虚拟现实应用技术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1.51%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广告设计与制作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1.01%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电子竞技运动与管理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数字展示技术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游戏设计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7.32%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产品艺术设计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0.56%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动漫设计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会计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11.23%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物流管理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2.74%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物流金融管理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2.96%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4.53%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建筑室内设计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7.32%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4.36%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-2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对本次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的样本分别按二级教学单位、性别、年级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生源地及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等组成结构进行了描述。表1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在性别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比例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方面，男女比例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2.42:1，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样本结构分布与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2019级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生源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男女比例2.72:1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的统计基本接近；在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生源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地方面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农村与城镇生源比例约为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1.27:1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；在年级分布方面，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2019级、2018级学生比例为2.13:1。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2数据显示，本次问卷调研涉及2018、2019级各个专业学生，据此，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本次学生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较高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代表性。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二、数据处理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本次问卷共有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道题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道单选题、5 道多选题、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道填空题。针对不同的方面设计了满意度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度、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兴趣度、熟练度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和基本信息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种类型的问题，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其中，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满意度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共有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3个问题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度共有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4个问题，兴趣度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共有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1个问题，熟练度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1个问题，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基本信息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共有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15个问题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统计过程中采用直接计数法，选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次记1分，分数越高，该信息的被选率越高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完毕，对所收集的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问卷进行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数据整理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校验。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三、结果与分析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学生线上学情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总体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结果与分析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的目前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学习的方式和安排的满意度表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满意度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不满意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18.83%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25.14%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23.07%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29.16%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学习效果和收获的满意度表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满意度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比较满意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不满意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</w:tr>
      <w:tr>
        <w:tblPrEx>
          <w:shd w:val="clear" w:color="auto" w:fill="auto"/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17.82%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24.47%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22.29%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31.06%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4.36%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5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方式兴趣度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兴趣度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非常感兴趣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比较感兴趣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不感兴趣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12.68%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29.50%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49.55%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8.27%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分析：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表3数据显示，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学生对我院教学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方式和安排仅有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3.80%表示不满意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；表4数据显示，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学习效果和收获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4.36%表示不满意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；表5数据显示，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8.27%表示不感兴趣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学生线上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学习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使用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的工具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及平台调研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结果与分析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6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使用的工具情况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电脑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平板电脑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51.90%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45.70%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2.40%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与教师沟通使用的工具情况表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QQ群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微信群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邮件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未使用</w:t>
            </w:r>
          </w:p>
        </w:tc>
      </w:tr>
      <w:tr>
        <w:tblPrEx>
          <w:shd w:val="clear" w:color="auto" w:fill="auto"/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99.66%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22.12%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1.62%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28.16%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8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使用的平台数量情况表</w:t>
      </w:r>
    </w:p>
    <w:tbl>
      <w:tblPr>
        <w:tblStyle w:val="7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平台数量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3个以上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未使用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7.26%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69.22%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23.52%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0.44%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使用的平台情况表</w:t>
      </w:r>
    </w:p>
    <w:tbl>
      <w:tblPr>
        <w:tblStyle w:val="7"/>
        <w:tblW w:w="92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8"/>
        <w:gridCol w:w="13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平台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云课堂智慧职教平台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腾讯课堂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QQ群聊直播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微信群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聊直播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钉钉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1691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1581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97.49%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94.47%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88.32%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2.23%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0.17%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3.13%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喜欢使用的平台情况表</w:t>
      </w:r>
    </w:p>
    <w:tbl>
      <w:tblPr>
        <w:tblStyle w:val="7"/>
        <w:tblW w:w="92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8"/>
        <w:gridCol w:w="13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喜欢</w:t>
            </w:r>
            <w:r>
              <w:rPr>
                <w:rStyle w:val="11"/>
                <w:color w:val="auto"/>
                <w:lang w:val="en-US" w:eastAsia="zh-CN"/>
              </w:rPr>
              <w:t>平台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云课堂智慧职教平台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腾讯课堂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QQ群聊直播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微信群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聊直播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钉钉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43.58%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68.77%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57.60%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2.07%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1.90%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7.49%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使用的平台熟练度情况表</w:t>
      </w:r>
    </w:p>
    <w:tbl>
      <w:tblPr>
        <w:tblStyle w:val="7"/>
        <w:tblW w:w="523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使用熟练度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非常熟练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熟练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不熟练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57.37%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41.51%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1.12%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分析：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表6数据显示，学生主要通过手机和电脑进行线上学习，使用手机的占比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51.90%，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超过1/2；表7数据显示，学生线上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与教师沟通使用的工具方面，绝大多数师生都建立起了QQ群，占比99.66%，部分师生也通过微信群及其他方式进行联系；表8数据显示，92.74%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学习一般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使用2个及以上的平台；表9数据显示，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使用的平台主要有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云课堂智慧职教平台、腾讯课堂、QQ群聊直播，分别占比97.49%、94.47%、88.32%；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表10数据显示，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喜欢使用的平台主要有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腾讯课堂、QQ群聊直播、云课堂智慧职教平台，分别占比68.77%、57.60%、43.58%。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表11数据显示，98.88%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熟练使用线上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平台，仅有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1.12%学生不熟练。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学生线上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学习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各环节情况调研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结果与分析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学生及时获得课程的教学安排等信息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26.31%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37.93%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17.99%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17.21%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0.56%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13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的要求做好充分预习等准备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24.08%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38.16%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20.28%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16.42%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1.06%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14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学生认为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教学的课前准备很充分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35.92%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42.29%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14.13%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7.54%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0.11%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线上学习接触的教学方式种类情况表</w:t>
      </w:r>
    </w:p>
    <w:tbl>
      <w:tblPr>
        <w:tblStyle w:val="7"/>
        <w:tblW w:w="61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536"/>
        <w:gridCol w:w="1536"/>
        <w:gridCol w:w="15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教学方式种类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单一教学方式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两种方式混合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三种以上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方式混合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19.39%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66.70%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13.91%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16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线上学习接触的教学方式情况表</w:t>
      </w:r>
    </w:p>
    <w:tbl>
      <w:tblPr>
        <w:tblStyle w:val="7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7"/>
        <w:gridCol w:w="142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视频直播教学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1703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音频直播教学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832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SPOC教学（学生课前学习云课堂智慧职教等平台上的课程资源，线上进行难点讲解，讨论）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737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线上研讨教学（教师提前通过云课堂智慧职教等渠道提供PPT、音视频资料、作业等给学生学习，线上通过各种形式组织学生讨论、答疑等）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992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录播教学（学生课前通过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录制好的视频学习，线上进行难点讲解，分组讨论）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427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学生自主学习（教师提前通过邮件等方式发送学习资料，以学生自学为主，辅以邮件等形式的讨论、答疑）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354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42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2.35%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17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线上学习喜欢的教学方式情况表</w:t>
      </w:r>
    </w:p>
    <w:tbl>
      <w:tblPr>
        <w:tblStyle w:val="7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141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喜欢的教学方式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视频直播教学</w:t>
            </w:r>
          </w:p>
        </w:tc>
        <w:tc>
          <w:tcPr>
            <w:tcW w:w="7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1396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77.99%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音频直播教学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466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SPOC教学（学生课前学习云课堂智慧职教等平台上的课程资源，线上进行难点讲解，讨论）</w:t>
            </w:r>
          </w:p>
        </w:tc>
        <w:tc>
          <w:tcPr>
            <w:tcW w:w="7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403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线上研讨教学（教师提前通过云课堂智慧职教等渠道提供PPT、音视频资料、作业等给学生学习，线上通过各种形式组织学生讨论、答疑等）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525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录播教学（学生课前通过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录制好的视频学习，线上进行难点讲解，分组讨论）</w:t>
            </w:r>
          </w:p>
        </w:tc>
        <w:tc>
          <w:tcPr>
            <w:tcW w:w="7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307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学生自主学习（教师提前通过邮件等方式发送学习资料，以学生自学为主，辅以邮件等形式的讨论、答疑）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304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5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7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150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8.38%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18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学生对学习内容有疑问时能及时获得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答疑或辅导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</w:t>
      </w:r>
    </w:p>
    <w:tbl>
      <w:tblPr>
        <w:tblStyle w:val="7"/>
        <w:tblW w:w="78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08"/>
        <w:gridCol w:w="1308"/>
        <w:gridCol w:w="1308"/>
        <w:gridCol w:w="1308"/>
        <w:gridCol w:w="1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非常符合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比较符合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不符合</w:t>
            </w:r>
          </w:p>
        </w:tc>
      </w:tr>
      <w:tr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比例（%）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30.78%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41.01%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15.92%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11.79%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0.50%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分析：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表12数据显示，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0.56%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表示不能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及时获得课程的教学安排等信息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；表13数据显示，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1.06%</w:t>
      </w:r>
      <w:r>
        <w:rPr>
          <w:rFonts w:hint="eastAsia" w:ascii="仿宋" w:hAnsi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cs="仿宋"/>
          <w:color w:val="auto"/>
          <w:sz w:val="24"/>
          <w:szCs w:val="24"/>
          <w:lang w:eastAsia="zh-CN"/>
        </w:rPr>
        <w:t>表示未能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的要求做好充分预习等准备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；表14数据显示，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0.11%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学生认为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教学的课前准备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充分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；表15数据显示，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线上学习接触的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两种及以上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方式混合占比80.61%；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表16数据显示，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线上学习接触的主要教学方式有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视频直播教学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线上研讨教学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音频直播教学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SPOC教学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分别占比95.14%、55.42%、46.48%、41.17%；表17数据显示，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线上学习喜欢的教学方式主要是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视频直播教学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占比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77.99%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表18数据显示，仅有0.5%的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表示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对学习内容有疑问时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未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能及时获得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答疑或辅导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、结论与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本次的调研，通过学生对线上学习满意度、线上学习使用的工具及平台情况、线上学习各环节情况等方面主客观态度体验，明确了我院学生线上学情。以此为依据，得出以下几方面的结论与建议：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（一）学院学生线上学情良好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本次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调研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结果显示，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学生主要通过手机和电脑进行在线学习，线上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与教师沟通使用的主要工具是QQ群，线上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学习一般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使用2个及以上的平台，线上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使用的平台主要有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云课堂智慧职教平台、腾讯课堂、QQ群聊直播，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喜欢使用的平台主要有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腾讯课堂、QQ群聊直播、云课堂智慧职教平台，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能熟练使用线上学习工具及平台，能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及时获得课程的教学安排等信息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的要求做好充分预习等准备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认为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教学的课前准备很充分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两种及以上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方式，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线上学习接触的主要教学方式有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视频直播教学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线上研讨教学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音频直播教学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SPOC教学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线上学习喜欢的教学方式主要是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视频直播教学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对学习内容有疑问时能及时获得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答疑或辅导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对我院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方式和安排满意，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学习效果和收获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满意，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感兴趣。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这反映了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学院学生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线上学情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（二）应持续做好线上课程建设</w:t>
      </w:r>
    </w:p>
    <w:p>
      <w:pPr>
        <w:widowControl/>
        <w:adjustRightInd/>
        <w:snapToGrid/>
        <w:spacing w:line="400" w:lineRule="atLeast"/>
        <w:ind w:firstLine="480" w:firstLineChars="200"/>
        <w:jc w:val="left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本次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调研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结果显示，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学习效果和收获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4.36%表示不满意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；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学习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8.27%表示不感兴趣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喜欢使用的平台主要有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  <w:t>腾讯课堂、QQ群聊直播、云课堂智慧职教平台，分别占比68.77%、57.60%、43.58%。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这反映了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在线学习的需求。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此外，调研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也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显示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，100%学生拥有手机、电脑、平板电脑；98.88%学生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能熟练使用线上学习平台；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仅有0.56%的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表示不能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及时获得课程的教学安排等信息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；仅有1.06%的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表示未能</w:t>
      </w:r>
      <w:r>
        <w:rPr>
          <w:rFonts w:hint="default" w:ascii="仿宋" w:hAnsi="仿宋" w:eastAsia="仿宋" w:cs="仿宋"/>
          <w:color w:val="auto"/>
          <w:sz w:val="24"/>
          <w:szCs w:val="24"/>
        </w:rPr>
        <w:t>按照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default" w:ascii="仿宋" w:hAnsi="仿宋" w:eastAsia="仿宋" w:cs="仿宋"/>
          <w:color w:val="auto"/>
          <w:sz w:val="24"/>
          <w:szCs w:val="24"/>
        </w:rPr>
        <w:t>的要求做好充分预习等准备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；仅有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0.11%的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学生认为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线上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教学的课前准备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不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充分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；仅有0.5%的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表示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对学习内容有疑问时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未</w:t>
      </w:r>
      <w:r>
        <w:rPr>
          <w:rFonts w:hint="default" w:ascii="仿宋" w:hAnsi="仿宋" w:eastAsia="仿宋" w:cs="仿宋"/>
          <w:color w:val="auto"/>
          <w:sz w:val="24"/>
          <w:szCs w:val="24"/>
        </w:rPr>
        <w:t>能及时获得</w:t>
      </w:r>
      <w:r>
        <w:rPr>
          <w:rFonts w:hint="default" w:ascii="仿宋" w:hAnsi="仿宋" w:eastAsia="仿宋" w:cs="仿宋"/>
          <w:color w:val="auto"/>
          <w:sz w:val="24"/>
          <w:szCs w:val="24"/>
          <w:lang w:eastAsia="zh-CN"/>
        </w:rPr>
        <w:t>教师</w:t>
      </w:r>
      <w:r>
        <w:rPr>
          <w:rFonts w:hint="default" w:ascii="仿宋" w:hAnsi="仿宋" w:eastAsia="仿宋" w:cs="仿宋"/>
          <w:color w:val="auto"/>
          <w:sz w:val="24"/>
          <w:szCs w:val="24"/>
        </w:rPr>
        <w:t>答疑或辅导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default" w:ascii="仿宋" w:hAnsi="仿宋" w:eastAsia="仿宋" w:cs="仿宋"/>
          <w:color w:val="auto"/>
          <w:sz w:val="24"/>
          <w:szCs w:val="24"/>
        </w:rPr>
        <w:t>学生对我院教学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方式和安排仅有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3.80%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表示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不满意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。也反映了我院持续做好线上课程建设的各方面具备良好的基础。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2866"/>
    <w:rsid w:val="0195699D"/>
    <w:rsid w:val="02AF547E"/>
    <w:rsid w:val="033D33A5"/>
    <w:rsid w:val="0414747B"/>
    <w:rsid w:val="05004B29"/>
    <w:rsid w:val="072E258A"/>
    <w:rsid w:val="07FE6F19"/>
    <w:rsid w:val="0BFD0E69"/>
    <w:rsid w:val="0CD86A14"/>
    <w:rsid w:val="0DAD21CC"/>
    <w:rsid w:val="0E3A23A9"/>
    <w:rsid w:val="0F2838CD"/>
    <w:rsid w:val="10834181"/>
    <w:rsid w:val="11C65BB9"/>
    <w:rsid w:val="12651D1F"/>
    <w:rsid w:val="131A2441"/>
    <w:rsid w:val="13712C1D"/>
    <w:rsid w:val="143D4848"/>
    <w:rsid w:val="14AB4ADD"/>
    <w:rsid w:val="15A831B9"/>
    <w:rsid w:val="17704D4A"/>
    <w:rsid w:val="19723702"/>
    <w:rsid w:val="19831906"/>
    <w:rsid w:val="19FB751E"/>
    <w:rsid w:val="1A117C87"/>
    <w:rsid w:val="1A1A46EF"/>
    <w:rsid w:val="1B2B261A"/>
    <w:rsid w:val="1D8F3EF5"/>
    <w:rsid w:val="21EC0868"/>
    <w:rsid w:val="22E358ED"/>
    <w:rsid w:val="22EB4937"/>
    <w:rsid w:val="277E0978"/>
    <w:rsid w:val="27E2266C"/>
    <w:rsid w:val="2AD10625"/>
    <w:rsid w:val="2C4A6E89"/>
    <w:rsid w:val="2F5078DE"/>
    <w:rsid w:val="308A018E"/>
    <w:rsid w:val="317B29B5"/>
    <w:rsid w:val="323A7274"/>
    <w:rsid w:val="339C59B9"/>
    <w:rsid w:val="347618DF"/>
    <w:rsid w:val="34FF5B4B"/>
    <w:rsid w:val="3534013F"/>
    <w:rsid w:val="36406DF1"/>
    <w:rsid w:val="3651490C"/>
    <w:rsid w:val="38F03B49"/>
    <w:rsid w:val="3CE35B6B"/>
    <w:rsid w:val="3D3D0873"/>
    <w:rsid w:val="3D5C4AFE"/>
    <w:rsid w:val="3ECD5F37"/>
    <w:rsid w:val="3F32526E"/>
    <w:rsid w:val="3FE07952"/>
    <w:rsid w:val="405936E1"/>
    <w:rsid w:val="40B3640A"/>
    <w:rsid w:val="416B4F0D"/>
    <w:rsid w:val="41A37528"/>
    <w:rsid w:val="43353F44"/>
    <w:rsid w:val="43C44606"/>
    <w:rsid w:val="4440681A"/>
    <w:rsid w:val="449456B3"/>
    <w:rsid w:val="460E3FAA"/>
    <w:rsid w:val="46A05D78"/>
    <w:rsid w:val="4868269A"/>
    <w:rsid w:val="4A17677F"/>
    <w:rsid w:val="4B9D57AE"/>
    <w:rsid w:val="4CF0304A"/>
    <w:rsid w:val="4DDF21ED"/>
    <w:rsid w:val="4E261A11"/>
    <w:rsid w:val="4E383FB9"/>
    <w:rsid w:val="5143103F"/>
    <w:rsid w:val="515F6374"/>
    <w:rsid w:val="55A770D3"/>
    <w:rsid w:val="56756798"/>
    <w:rsid w:val="573056AB"/>
    <w:rsid w:val="58CA6F24"/>
    <w:rsid w:val="59251DC0"/>
    <w:rsid w:val="5A437627"/>
    <w:rsid w:val="5AEF5840"/>
    <w:rsid w:val="5AF02BBE"/>
    <w:rsid w:val="5BA3349B"/>
    <w:rsid w:val="5CA33020"/>
    <w:rsid w:val="5D014195"/>
    <w:rsid w:val="5D445B0D"/>
    <w:rsid w:val="5D56321F"/>
    <w:rsid w:val="5E1A6747"/>
    <w:rsid w:val="5F92219D"/>
    <w:rsid w:val="5FBC3CBA"/>
    <w:rsid w:val="60392DA9"/>
    <w:rsid w:val="605E44C7"/>
    <w:rsid w:val="6344423A"/>
    <w:rsid w:val="63B83380"/>
    <w:rsid w:val="65FD61EC"/>
    <w:rsid w:val="66CF763A"/>
    <w:rsid w:val="674F44B5"/>
    <w:rsid w:val="67CC63B1"/>
    <w:rsid w:val="67FD761B"/>
    <w:rsid w:val="6920088E"/>
    <w:rsid w:val="6C053CED"/>
    <w:rsid w:val="6DE20686"/>
    <w:rsid w:val="71E24394"/>
    <w:rsid w:val="72452B3E"/>
    <w:rsid w:val="744D78DC"/>
    <w:rsid w:val="75492558"/>
    <w:rsid w:val="77C534CC"/>
    <w:rsid w:val="7A820486"/>
    <w:rsid w:val="7AC70F02"/>
    <w:rsid w:val="7D2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0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6183</Words>
  <Characters>7435</Characters>
  <Paragraphs>832</Paragraphs>
  <TotalTime>9</TotalTime>
  <ScaleCrop>false</ScaleCrop>
  <LinksUpToDate>false</LinksUpToDate>
  <CharactersWithSpaces>7491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2020-02-28T10:03:00Z</dcterms:created>
  <dc:creator>加明</dc:creator>
  <cp:lastModifiedBy>加明</cp:lastModifiedBy>
  <dcterms:modified xsi:type="dcterms:W3CDTF">2020-03-30T12:44:11Z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