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color="auto" w:fill="FFFFFF"/>
        <w:spacing w:beforeAutospacing="0" w:afterAutospacing="0"/>
        <w:jc w:val="center"/>
        <w:rPr>
          <w:rFonts w:hint="default" w:ascii="黑体;" w:hAnsi="黑体;" w:eastAsia="黑体;" w:cs="黑体;"/>
          <w:sz w:val="36"/>
          <w:szCs w:val="36"/>
          <w:shd w:val="clear" w:color="auto" w:fill="FFFFFF"/>
        </w:rPr>
      </w:pPr>
      <w:r>
        <w:rPr>
          <w:rFonts w:ascii="黑体;" w:hAnsi="黑体;" w:eastAsia="黑体;" w:cs="黑体;"/>
          <w:sz w:val="36"/>
          <w:szCs w:val="36"/>
          <w:shd w:val="clear" w:color="auto" w:fill="FFFFFF"/>
        </w:rPr>
        <w:t>福州软件职业技术学院</w:t>
      </w:r>
      <w:r>
        <w:rPr>
          <w:rFonts w:hint="default" w:ascii="黑体;" w:hAnsi="黑体;" w:eastAsia="黑体;" w:cs="黑体;"/>
          <w:sz w:val="36"/>
          <w:szCs w:val="36"/>
          <w:shd w:val="clear" w:color="auto" w:fill="FFFFFF"/>
        </w:rPr>
        <w:t>线上教学情况</w:t>
      </w:r>
      <w:r>
        <w:rPr>
          <w:rFonts w:ascii="黑体;" w:hAnsi="黑体;" w:eastAsia="黑体;" w:cs="黑体;"/>
          <w:sz w:val="36"/>
          <w:szCs w:val="36"/>
          <w:shd w:val="clear" w:color="auto" w:fill="FFFFFF"/>
        </w:rPr>
        <w:t>监控</w:t>
      </w:r>
      <w:r>
        <w:rPr>
          <w:rFonts w:hint="default" w:ascii="黑体;" w:hAnsi="黑体;" w:eastAsia="黑体;" w:cs="黑体;"/>
          <w:sz w:val="36"/>
          <w:szCs w:val="36"/>
          <w:shd w:val="clear" w:color="auto" w:fill="FFFFFF"/>
        </w:rPr>
        <w:t>简报</w:t>
      </w:r>
    </w:p>
    <w:p>
      <w:pPr>
        <w:tabs>
          <w:tab w:val="left" w:pos="3266"/>
          <w:tab w:val="center" w:pos="4213"/>
        </w:tabs>
        <w:jc w:val="center"/>
        <w:rPr>
          <w:sz w:val="36"/>
          <w:szCs w:val="36"/>
        </w:rPr>
      </w:pPr>
      <w:r>
        <w:rPr>
          <w:rFonts w:hint="eastAsia" w:ascii="黑体;" w:hAnsi="黑体;" w:eastAsia="黑体;" w:cs="黑体;"/>
          <w:b/>
          <w:sz w:val="36"/>
          <w:szCs w:val="36"/>
          <w:shd w:val="clear" w:color="auto" w:fill="FFFFFF"/>
        </w:rPr>
        <w:t>（2020年第</w:t>
      </w:r>
      <w:r>
        <w:rPr>
          <w:rFonts w:hint="eastAsia" w:ascii="黑体;" w:hAnsi="黑体;" w:eastAsia="黑体;" w:cs="黑体;"/>
          <w:b/>
          <w:sz w:val="36"/>
          <w:szCs w:val="36"/>
          <w:shd w:val="clear" w:color="auto" w:fill="FFFFFF"/>
          <w:lang w:val="en-US" w:eastAsia="zh-CN"/>
        </w:rPr>
        <w:t>4</w:t>
      </w:r>
      <w:r>
        <w:rPr>
          <w:rFonts w:hint="eastAsia" w:ascii="黑体;" w:hAnsi="黑体;" w:eastAsia="黑体;" w:cs="黑体;"/>
          <w:b/>
          <w:sz w:val="36"/>
          <w:szCs w:val="36"/>
          <w:shd w:val="clear" w:color="auto" w:fill="FFFFFF"/>
        </w:rPr>
        <w:t>期）</w:t>
      </w:r>
    </w:p>
    <w:p>
      <w:pPr>
        <w:spacing w:line="400" w:lineRule="exact"/>
        <w:ind w:firstLine="400"/>
        <w:textAlignment w:val="center"/>
        <w:rPr>
          <w:rFonts w:ascii="仿宋" w:hAnsi="仿宋" w:eastAsia="仿宋" w:cs="仿宋"/>
        </w:rPr>
      </w:pPr>
    </w:p>
    <w:p>
      <w:pPr>
        <w:spacing w:line="400" w:lineRule="exact"/>
        <w:ind w:firstLine="400"/>
        <w:textAlignment w:val="center"/>
        <w:rPr>
          <w:rFonts w:ascii="仿宋" w:hAnsi="仿宋" w:eastAsia="仿宋" w:cs="仿宋"/>
        </w:rPr>
      </w:pPr>
      <w:r>
        <w:rPr>
          <w:rFonts w:hint="eastAsia" w:ascii="仿宋" w:hAnsi="仿宋" w:eastAsia="仿宋" w:cs="仿宋"/>
        </w:rPr>
        <w:t>本学期开学</w:t>
      </w:r>
      <w:r>
        <w:rPr>
          <w:rFonts w:hint="eastAsia" w:ascii="仿宋" w:hAnsi="仿宋" w:eastAsia="仿宋" w:cs="仿宋"/>
          <w:lang w:eastAsia="zh-CN"/>
        </w:rPr>
        <w:t>第四周</w:t>
      </w:r>
      <w:r>
        <w:rPr>
          <w:rFonts w:hint="eastAsia" w:ascii="仿宋" w:hAnsi="仿宋" w:eastAsia="仿宋" w:cs="仿宋"/>
        </w:rPr>
        <w:t>（3月</w:t>
      </w:r>
      <w:r>
        <w:rPr>
          <w:rFonts w:hint="eastAsia" w:ascii="仿宋" w:hAnsi="仿宋" w:eastAsia="仿宋" w:cs="仿宋"/>
          <w:lang w:val="en-US" w:eastAsia="zh-CN"/>
        </w:rPr>
        <w:t>16</w:t>
      </w:r>
      <w:r>
        <w:rPr>
          <w:rFonts w:hint="eastAsia" w:ascii="仿宋" w:hAnsi="仿宋" w:eastAsia="仿宋" w:cs="仿宋"/>
        </w:rPr>
        <w:t>日—3月</w:t>
      </w:r>
      <w:r>
        <w:rPr>
          <w:rFonts w:hint="eastAsia" w:ascii="仿宋" w:hAnsi="仿宋" w:eastAsia="仿宋" w:cs="仿宋"/>
          <w:lang w:val="en-US" w:eastAsia="zh-CN"/>
        </w:rPr>
        <w:t>20</w:t>
      </w:r>
      <w:r>
        <w:rPr>
          <w:rFonts w:hint="eastAsia" w:ascii="仿宋" w:hAnsi="仿宋" w:eastAsia="仿宋" w:cs="仿宋"/>
        </w:rPr>
        <w:t>日），教学质量监控与评价中心、教务科研处、各二级教学单位坚持开展“教师线上教学工作日志”日报制、督导线上听评课、巡课、学生线上评教、在线课程建设评价</w:t>
      </w:r>
      <w:r>
        <w:rPr>
          <w:rFonts w:hint="eastAsia" w:ascii="仿宋" w:hAnsi="仿宋" w:eastAsia="仿宋" w:cs="仿宋"/>
          <w:lang w:eastAsia="zh-CN"/>
        </w:rPr>
        <w:t>、“停课不停教”典型案例征集</w:t>
      </w:r>
      <w:r>
        <w:rPr>
          <w:rFonts w:hint="eastAsia" w:ascii="仿宋" w:hAnsi="仿宋" w:eastAsia="仿宋" w:cs="仿宋"/>
        </w:rPr>
        <w:t>等工作，持续保障我院线上教学质量。现将学院线上教学情况监控简报如下：</w:t>
      </w:r>
    </w:p>
    <w:p>
      <w:pPr>
        <w:spacing w:line="400" w:lineRule="exact"/>
        <w:jc w:val="center"/>
        <w:textAlignment w:val="center"/>
        <w:rPr>
          <w:rFonts w:ascii="仿宋" w:hAnsi="仿宋" w:eastAsia="仿宋" w:cs="仿宋"/>
          <w:b/>
          <w:bCs/>
          <w:color w:val="auto"/>
        </w:rPr>
      </w:pPr>
    </w:p>
    <w:p>
      <w:pPr>
        <w:spacing w:line="400" w:lineRule="exact"/>
        <w:jc w:val="center"/>
        <w:textAlignment w:val="center"/>
        <w:rPr>
          <w:rFonts w:ascii="仿宋" w:hAnsi="仿宋" w:eastAsia="仿宋" w:cs="仿宋"/>
          <w:b/>
          <w:bCs/>
          <w:color w:val="auto"/>
          <w:sz w:val="28"/>
          <w:szCs w:val="28"/>
        </w:rPr>
      </w:pPr>
      <w:r>
        <w:rPr>
          <w:rFonts w:hint="eastAsia" w:ascii="仿宋" w:hAnsi="仿宋" w:eastAsia="仿宋" w:cs="仿宋"/>
          <w:b/>
          <w:bCs/>
          <w:color w:val="auto"/>
          <w:sz w:val="28"/>
          <w:szCs w:val="28"/>
        </w:rPr>
        <w:t>第一部分  线上教学运行总体平稳</w:t>
      </w:r>
    </w:p>
    <w:p>
      <w:pPr>
        <w:spacing w:line="400" w:lineRule="exact"/>
        <w:jc w:val="center"/>
        <w:textAlignment w:val="center"/>
        <w:rPr>
          <w:rFonts w:ascii="仿宋" w:hAnsi="仿宋" w:eastAsia="仿宋" w:cs="仿宋"/>
          <w:b/>
          <w:bCs/>
          <w:color w:val="0000FF"/>
        </w:rPr>
      </w:pP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rPr>
        <w:t>一、经二级教学单位督导小组自查、教学质量监控与评价中心、教务科研处抽查，</w:t>
      </w:r>
      <w:r>
        <w:rPr>
          <w:rFonts w:hint="eastAsia" w:ascii="仿宋" w:hAnsi="仿宋" w:eastAsia="仿宋" w:cs="仿宋"/>
          <w:color w:val="auto"/>
          <w:lang w:eastAsia="zh-CN"/>
        </w:rPr>
        <w:t>第四周</w:t>
      </w:r>
      <w:r>
        <w:rPr>
          <w:rFonts w:hint="eastAsia" w:ascii="仿宋" w:hAnsi="仿宋" w:eastAsia="仿宋" w:cs="仿宋"/>
          <w:color w:val="auto"/>
          <w:lang w:val="en-US" w:eastAsia="zh-CN"/>
        </w:rPr>
        <w:t>各</w:t>
      </w:r>
      <w:r>
        <w:rPr>
          <w:rFonts w:hint="eastAsia" w:ascii="仿宋" w:hAnsi="仿宋" w:eastAsia="仿宋" w:cs="仿宋"/>
          <w:color w:val="auto"/>
        </w:rPr>
        <w:t>授课教师都有按课表正常开展教学工作</w:t>
      </w:r>
      <w:r>
        <w:rPr>
          <w:rFonts w:hint="eastAsia" w:ascii="仿宋" w:hAnsi="仿宋" w:eastAsia="仿宋" w:cs="仿宋"/>
          <w:i w:val="0"/>
          <w:color w:val="000000"/>
          <w:kern w:val="0"/>
          <w:sz w:val="24"/>
          <w:szCs w:val="24"/>
          <w:u w:val="none"/>
          <w:lang w:val="en-US" w:eastAsia="zh-CN"/>
        </w:rPr>
        <w:t>，未有应开而未开课程。</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00"/>
        <w:jc w:val="left"/>
        <w:textAlignment w:val="center"/>
        <w:rPr>
          <w:rFonts w:hint="default"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二、经“教师线上教学工作日志”日报监测，3月20日，龚彩虹（网大兼职教师）在结束《nosql数据库教程》课程授课后，未及时填报“教师线上教学工作日志”。</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三</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第四周</w:t>
      </w:r>
      <w:r>
        <w:rPr>
          <w:rFonts w:hint="eastAsia" w:ascii="仿宋" w:hAnsi="仿宋" w:eastAsia="仿宋" w:cs="仿宋"/>
          <w:color w:val="auto"/>
        </w:rPr>
        <w:t>学院累计线上开课381门，环比增加8门；开课节数1060节，环比增加40节。</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四</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第四周</w:t>
      </w:r>
      <w:r>
        <w:rPr>
          <w:rFonts w:hint="eastAsia" w:ascii="仿宋" w:hAnsi="仿宋" w:eastAsia="仿宋" w:cs="仿宋"/>
          <w:color w:val="auto"/>
        </w:rPr>
        <w:t>教师累计线上教学348人次，环比增加10人次；批改作业8307</w:t>
      </w:r>
      <w:r>
        <w:rPr>
          <w:rFonts w:hint="eastAsia" w:ascii="仿宋" w:hAnsi="仿宋" w:eastAsia="仿宋" w:cs="仿宋"/>
          <w:color w:val="auto"/>
          <w:lang w:val="en-US" w:eastAsia="zh-CN"/>
        </w:rPr>
        <w:t>道</w:t>
      </w:r>
      <w:r>
        <w:rPr>
          <w:rFonts w:hint="eastAsia" w:ascii="仿宋" w:hAnsi="仿宋" w:eastAsia="仿宋" w:cs="仿宋"/>
          <w:color w:val="auto"/>
        </w:rPr>
        <w:t>，环比</w:t>
      </w:r>
      <w:r>
        <w:rPr>
          <w:rFonts w:hint="eastAsia" w:ascii="仿宋" w:hAnsi="仿宋" w:eastAsia="仿宋" w:cs="仿宋"/>
          <w:color w:val="auto"/>
          <w:lang w:val="en-US" w:eastAsia="zh-CN"/>
        </w:rPr>
        <w:t>增加</w:t>
      </w:r>
      <w:r>
        <w:rPr>
          <w:rFonts w:hint="eastAsia" w:ascii="仿宋" w:hAnsi="仿宋" w:eastAsia="仿宋" w:cs="仿宋"/>
          <w:color w:val="auto"/>
        </w:rPr>
        <w:t>5746</w:t>
      </w:r>
      <w:r>
        <w:rPr>
          <w:rFonts w:hint="eastAsia" w:ascii="仿宋" w:hAnsi="仿宋" w:eastAsia="仿宋" w:cs="仿宋"/>
          <w:color w:val="auto"/>
          <w:lang w:val="en-US" w:eastAsia="zh-CN"/>
        </w:rPr>
        <w:t>道</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等）965次，环比减少119次。</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五</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第四周</w:t>
      </w:r>
      <w:r>
        <w:rPr>
          <w:rFonts w:hint="eastAsia" w:ascii="仿宋" w:hAnsi="仿宋" w:eastAsia="仿宋" w:cs="仿宋"/>
          <w:color w:val="auto"/>
        </w:rPr>
        <w:t>学生累计线上签到23961人次，环比减少6383人次；日均签到6069人次，环比减少</w:t>
      </w:r>
      <w:r>
        <w:rPr>
          <w:rFonts w:hint="eastAsia" w:ascii="仿宋" w:hAnsi="仿宋" w:eastAsia="仿宋" w:cs="仿宋"/>
          <w:color w:val="auto"/>
          <w:lang w:val="en-US" w:eastAsia="zh-CN"/>
        </w:rPr>
        <w:t>1277</w:t>
      </w:r>
      <w:r>
        <w:rPr>
          <w:rFonts w:hint="eastAsia" w:ascii="仿宋" w:hAnsi="仿宋" w:eastAsia="仿宋" w:cs="仿宋"/>
          <w:color w:val="auto"/>
        </w:rPr>
        <w:t>人次；日平均到课率94.05%，环比</w:t>
      </w:r>
      <w:r>
        <w:rPr>
          <w:rFonts w:hint="eastAsia" w:ascii="仿宋" w:hAnsi="仿宋" w:eastAsia="仿宋" w:cs="仿宋"/>
          <w:color w:val="auto"/>
          <w:lang w:val="en-US" w:eastAsia="zh-CN"/>
        </w:rPr>
        <w:t>增加1.53%</w:t>
      </w:r>
      <w:r>
        <w:rPr>
          <w:rFonts w:hint="eastAsia" w:ascii="仿宋" w:hAnsi="仿宋" w:eastAsia="仿宋" w:cs="仿宋"/>
          <w:color w:val="auto"/>
        </w:rPr>
        <w:t>%；课件学习50755次，环比减少16724次；做题253849道，环比</w:t>
      </w:r>
      <w:r>
        <w:rPr>
          <w:rFonts w:hint="eastAsia" w:ascii="仿宋" w:hAnsi="仿宋" w:eastAsia="仿宋" w:cs="仿宋"/>
          <w:color w:val="auto"/>
          <w:lang w:val="en-US" w:eastAsia="zh-CN"/>
        </w:rPr>
        <w:t>增加118067</w:t>
      </w:r>
      <w:r>
        <w:rPr>
          <w:rFonts w:hint="eastAsia" w:ascii="仿宋" w:hAnsi="仿宋" w:eastAsia="仿宋" w:cs="仿宋"/>
          <w:color w:val="auto"/>
        </w:rPr>
        <w:t>道；对课堂评价五星（最高等级）6944次，环比减少2130次。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00"/>
        <w:jc w:val="left"/>
        <w:textAlignment w:val="center"/>
        <w:rPr>
          <w:rFonts w:hint="eastAsia" w:ascii="仿宋" w:hAnsi="仿宋" w:eastAsia="仿宋" w:cs="仿宋"/>
          <w:color w:val="auto"/>
        </w:rPr>
      </w:pPr>
      <w:r>
        <w:rPr>
          <w:rFonts w:hint="eastAsia" w:ascii="仿宋" w:hAnsi="仿宋" w:eastAsia="仿宋" w:cs="仿宋"/>
          <w:i w:val="0"/>
          <w:color w:val="auto"/>
          <w:kern w:val="0"/>
          <w:sz w:val="24"/>
          <w:szCs w:val="24"/>
          <w:u w:val="none"/>
          <w:lang w:val="en-US" w:eastAsia="zh-CN"/>
        </w:rPr>
        <w:t>根据督导线上听评课、巡课监测，教师</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等）965次，环比减少119次</w:t>
      </w:r>
      <w:r>
        <w:rPr>
          <w:rFonts w:hint="eastAsia" w:ascii="仿宋" w:hAnsi="仿宋" w:eastAsia="仿宋" w:cs="仿宋"/>
          <w:color w:val="auto"/>
          <w:lang w:eastAsia="zh-CN"/>
        </w:rPr>
        <w:t>，</w:t>
      </w:r>
      <w:r>
        <w:rPr>
          <w:rFonts w:hint="eastAsia" w:ascii="仿宋" w:hAnsi="仿宋" w:eastAsia="仿宋" w:cs="仿宋"/>
          <w:i w:val="0"/>
          <w:color w:val="auto"/>
          <w:kern w:val="0"/>
          <w:sz w:val="24"/>
          <w:szCs w:val="24"/>
          <w:u w:val="none"/>
          <w:lang w:val="en-US" w:eastAsia="zh-CN"/>
        </w:rPr>
        <w:t>属正常现象，</w:t>
      </w:r>
      <w:r>
        <w:rPr>
          <w:rFonts w:hint="eastAsia" w:ascii="仿宋" w:hAnsi="仿宋" w:eastAsia="仿宋" w:cs="仿宋"/>
          <w:color w:val="auto"/>
          <w:sz w:val="24"/>
          <w:szCs w:val="24"/>
          <w:lang w:val="en-US" w:eastAsia="zh-CN"/>
        </w:rPr>
        <w:t>教师线上教学使用的平台主要有</w:t>
      </w:r>
      <w:r>
        <w:rPr>
          <w:rFonts w:hint="eastAsia" w:ascii="仿宋" w:hAnsi="仿宋" w:eastAsia="仿宋" w:cs="仿宋"/>
          <w:i w:val="0"/>
          <w:color w:val="auto"/>
          <w:kern w:val="0"/>
          <w:sz w:val="24"/>
          <w:szCs w:val="24"/>
          <w:u w:val="none"/>
          <w:lang w:val="en-US" w:eastAsia="zh-CN"/>
        </w:rPr>
        <w:t>云课堂智慧职教平台、腾讯课堂、QQ群聊直播，分别占比97.49%、94.47%、88.32%，在</w:t>
      </w:r>
      <w:r>
        <w:rPr>
          <w:rFonts w:hint="eastAsia" w:ascii="仿宋" w:hAnsi="仿宋" w:eastAsia="仿宋" w:cs="仿宋"/>
          <w:color w:val="auto"/>
          <w:sz w:val="24"/>
          <w:szCs w:val="24"/>
          <w:lang w:val="en-US" w:eastAsia="zh-CN"/>
        </w:rPr>
        <w:t>使用</w:t>
      </w:r>
      <w:r>
        <w:rPr>
          <w:rFonts w:hint="eastAsia" w:ascii="仿宋" w:hAnsi="仿宋" w:eastAsia="仿宋" w:cs="仿宋"/>
          <w:i w:val="0"/>
          <w:color w:val="auto"/>
          <w:kern w:val="0"/>
          <w:sz w:val="24"/>
          <w:szCs w:val="24"/>
          <w:u w:val="none"/>
          <w:lang w:val="en-US" w:eastAsia="zh-CN"/>
        </w:rPr>
        <w:t>腾讯课堂、QQ群聊直播的教学中，也经常</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eastAsia="zh-CN"/>
        </w:rPr>
        <w:t>，</w:t>
      </w:r>
      <w:r>
        <w:rPr>
          <w:rFonts w:hint="eastAsia" w:ascii="仿宋" w:hAnsi="仿宋" w:eastAsia="仿宋" w:cs="仿宋"/>
          <w:color w:val="auto"/>
          <w:lang w:val="en-US" w:eastAsia="zh-CN"/>
        </w:rPr>
        <w:t>因所属平台不同，这些数据未纳入统计范围。此外</w:t>
      </w:r>
      <w:r>
        <w:rPr>
          <w:rFonts w:hint="eastAsia" w:ascii="仿宋" w:hAnsi="仿宋" w:eastAsia="仿宋" w:cs="仿宋"/>
          <w:i w:val="0"/>
          <w:color w:val="auto"/>
          <w:kern w:val="0"/>
          <w:sz w:val="24"/>
          <w:szCs w:val="24"/>
          <w:u w:val="none"/>
          <w:lang w:val="en-US" w:eastAsia="zh-CN"/>
        </w:rPr>
        <w:t>根据数据对比，减少的主要为“签到”，第四周</w:t>
      </w:r>
      <w:r>
        <w:rPr>
          <w:rFonts w:hint="eastAsia" w:ascii="仿宋" w:hAnsi="仿宋" w:eastAsia="仿宋" w:cs="仿宋"/>
          <w:color w:val="auto"/>
          <w:lang w:val="en-US" w:eastAsia="zh-CN"/>
        </w:rPr>
        <w:t>“签到”</w:t>
      </w:r>
      <w:r>
        <w:rPr>
          <w:rFonts w:hint="eastAsia" w:ascii="仿宋" w:hAnsi="仿宋" w:eastAsia="仿宋" w:cs="仿宋"/>
          <w:i w:val="0"/>
          <w:color w:val="auto"/>
          <w:kern w:val="0"/>
          <w:sz w:val="24"/>
          <w:szCs w:val="24"/>
          <w:u w:val="none"/>
          <w:lang w:val="en-US" w:eastAsia="zh-CN"/>
        </w:rPr>
        <w:t>548次，</w:t>
      </w:r>
      <w:bookmarkStart w:id="1" w:name="_GoBack"/>
      <w:bookmarkEnd w:id="1"/>
      <w:r>
        <w:rPr>
          <w:rFonts w:hint="eastAsia" w:ascii="仿宋" w:hAnsi="仿宋" w:eastAsia="仿宋" w:cs="仿宋"/>
          <w:i w:val="0"/>
          <w:color w:val="auto"/>
          <w:kern w:val="0"/>
          <w:sz w:val="24"/>
          <w:szCs w:val="24"/>
          <w:u w:val="none"/>
          <w:lang w:val="en-US" w:eastAsia="zh-CN"/>
        </w:rPr>
        <w:t>环比减少146次</w:t>
      </w:r>
      <w:r>
        <w:rPr>
          <w:rFonts w:hint="eastAsia" w:ascii="仿宋" w:hAnsi="仿宋" w:eastAsia="仿宋" w:cs="仿宋"/>
          <w:color w:val="auto"/>
          <w:lang w:eastAsia="zh-CN"/>
        </w:rPr>
        <w:t>，</w:t>
      </w:r>
      <w:r>
        <w:rPr>
          <w:rFonts w:hint="eastAsia" w:ascii="仿宋" w:hAnsi="仿宋" w:eastAsia="仿宋" w:cs="仿宋"/>
          <w:color w:val="auto"/>
          <w:lang w:val="en-US" w:eastAsia="zh-CN"/>
        </w:rPr>
        <w:t>这与</w:t>
      </w:r>
      <w:r>
        <w:rPr>
          <w:rFonts w:hint="eastAsia" w:ascii="仿宋" w:hAnsi="仿宋" w:eastAsia="仿宋" w:cs="仿宋"/>
          <w:i w:val="0"/>
          <w:color w:val="auto"/>
          <w:kern w:val="0"/>
          <w:sz w:val="24"/>
          <w:szCs w:val="24"/>
          <w:u w:val="none"/>
          <w:lang w:val="en-US" w:eastAsia="zh-CN"/>
        </w:rPr>
        <w:t>学生累计线上签到23961人次，环比减少6383人次，</w:t>
      </w:r>
      <w:r>
        <w:rPr>
          <w:rFonts w:hint="eastAsia" w:ascii="仿宋" w:hAnsi="仿宋" w:eastAsia="仿宋" w:cs="仿宋"/>
          <w:color w:val="auto"/>
        </w:rPr>
        <w:t>日均签到6069人次，环比减少</w:t>
      </w:r>
      <w:r>
        <w:rPr>
          <w:rFonts w:hint="eastAsia" w:ascii="仿宋" w:hAnsi="仿宋" w:eastAsia="仿宋" w:cs="仿宋"/>
          <w:color w:val="auto"/>
          <w:lang w:val="en-US" w:eastAsia="zh-CN"/>
        </w:rPr>
        <w:t>1277</w:t>
      </w:r>
      <w:r>
        <w:rPr>
          <w:rFonts w:hint="eastAsia" w:ascii="仿宋" w:hAnsi="仿宋" w:eastAsia="仿宋" w:cs="仿宋"/>
          <w:color w:val="auto"/>
        </w:rPr>
        <w:t>人次</w:t>
      </w:r>
      <w:r>
        <w:rPr>
          <w:rFonts w:hint="eastAsia" w:ascii="仿宋" w:hAnsi="仿宋" w:eastAsia="仿宋" w:cs="仿宋"/>
          <w:i w:val="0"/>
          <w:color w:val="auto"/>
          <w:kern w:val="0"/>
          <w:sz w:val="24"/>
          <w:szCs w:val="24"/>
          <w:u w:val="none"/>
          <w:lang w:val="en-US" w:eastAsia="zh-CN"/>
        </w:rPr>
        <w:t>，成正相关，根据督导线上听评课、巡课监测，教师在</w:t>
      </w:r>
      <w:r>
        <w:rPr>
          <w:rFonts w:hint="eastAsia" w:ascii="仿宋" w:hAnsi="仿宋" w:eastAsia="仿宋" w:cs="仿宋"/>
          <w:color w:val="auto"/>
          <w:sz w:val="24"/>
          <w:szCs w:val="24"/>
          <w:lang w:val="en-US" w:eastAsia="zh-CN"/>
        </w:rPr>
        <w:t>使用</w:t>
      </w:r>
      <w:r>
        <w:rPr>
          <w:rFonts w:hint="eastAsia" w:ascii="仿宋" w:hAnsi="仿宋" w:eastAsia="仿宋" w:cs="仿宋"/>
          <w:i w:val="0"/>
          <w:color w:val="auto"/>
          <w:kern w:val="0"/>
          <w:sz w:val="24"/>
          <w:szCs w:val="24"/>
          <w:u w:val="none"/>
          <w:lang w:val="en-US" w:eastAsia="zh-CN"/>
        </w:rPr>
        <w:t>云课堂智慧职教平台、腾讯课堂、QQ群聊直播的教学中，也经常</w:t>
      </w:r>
      <w:r>
        <w:rPr>
          <w:rFonts w:hint="eastAsia" w:ascii="仿宋" w:hAnsi="仿宋" w:eastAsia="仿宋" w:cs="仿宋"/>
          <w:color w:val="auto"/>
          <w:lang w:val="en-US" w:eastAsia="zh-CN"/>
        </w:rPr>
        <w:t>以</w:t>
      </w:r>
      <w:r>
        <w:rPr>
          <w:rFonts w:hint="eastAsia" w:ascii="仿宋" w:hAnsi="仿宋" w:eastAsia="仿宋" w:cs="仿宋"/>
          <w:color w:val="auto"/>
        </w:rPr>
        <w:t>小组PK、头脑风暴、讨论、投票</w:t>
      </w:r>
      <w:r>
        <w:rPr>
          <w:rFonts w:hint="eastAsia" w:ascii="仿宋" w:hAnsi="仿宋" w:eastAsia="仿宋" w:cs="仿宋"/>
          <w:color w:val="auto"/>
          <w:lang w:val="en-US" w:eastAsia="zh-CN"/>
        </w:rPr>
        <w:t>等替代频繁的签到，这也表明教师已逐渐适应线上教学，故</w:t>
      </w:r>
      <w:r>
        <w:rPr>
          <w:rFonts w:hint="eastAsia" w:ascii="仿宋" w:hAnsi="仿宋" w:eastAsia="仿宋" w:cs="仿宋"/>
          <w:i w:val="0"/>
          <w:color w:val="auto"/>
          <w:kern w:val="0"/>
          <w:sz w:val="24"/>
          <w:szCs w:val="24"/>
          <w:u w:val="none"/>
          <w:lang w:val="en-US" w:eastAsia="zh-CN"/>
        </w:rPr>
        <w:t>属正常现象。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00"/>
        <w:jc w:val="left"/>
        <w:textAlignment w:val="center"/>
        <w:rPr>
          <w:rFonts w:hint="default"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经教学质量监控与评价中心论证，</w:t>
      </w:r>
      <w:r>
        <w:rPr>
          <w:rFonts w:hint="eastAsia" w:ascii="仿宋" w:hAnsi="仿宋" w:eastAsia="仿宋" w:cs="仿宋"/>
          <w:color w:val="auto"/>
        </w:rPr>
        <w:t>对课堂评价五星（最高等级）6944次，环比减少2130次</w:t>
      </w:r>
      <w:r>
        <w:rPr>
          <w:rFonts w:hint="eastAsia" w:ascii="仿宋" w:hAnsi="仿宋" w:eastAsia="仿宋" w:cs="仿宋"/>
          <w:color w:val="auto"/>
          <w:lang w:eastAsia="zh-CN"/>
        </w:rPr>
        <w:t>，</w:t>
      </w:r>
      <w:r>
        <w:rPr>
          <w:rFonts w:hint="eastAsia" w:ascii="仿宋" w:hAnsi="仿宋" w:eastAsia="仿宋" w:cs="仿宋"/>
          <w:i w:val="0"/>
          <w:color w:val="auto"/>
          <w:kern w:val="0"/>
          <w:sz w:val="24"/>
          <w:szCs w:val="24"/>
          <w:u w:val="none"/>
          <w:lang w:val="en-US" w:eastAsia="zh-CN"/>
        </w:rPr>
        <w:t>其主要原因是线上教学课后评价为非强制性评价，随学生主观变化而波动，属正常现象；学生</w:t>
      </w:r>
      <w:r>
        <w:rPr>
          <w:rFonts w:hint="eastAsia" w:ascii="仿宋" w:hAnsi="仿宋" w:eastAsia="仿宋" w:cs="仿宋"/>
          <w:color w:val="auto"/>
        </w:rPr>
        <w:t>课件学习50755次，环比减少16724次</w:t>
      </w:r>
      <w:r>
        <w:rPr>
          <w:rFonts w:hint="eastAsia" w:ascii="仿宋" w:hAnsi="仿宋" w:eastAsia="仿宋" w:cs="仿宋"/>
          <w:color w:val="auto"/>
          <w:lang w:eastAsia="zh-CN"/>
        </w:rPr>
        <w:t>，</w:t>
      </w:r>
      <w:r>
        <w:rPr>
          <w:rFonts w:hint="eastAsia" w:ascii="仿宋" w:hAnsi="仿宋" w:eastAsia="仿宋" w:cs="仿宋"/>
          <w:color w:val="auto"/>
          <w:lang w:val="en-US" w:eastAsia="zh-CN"/>
        </w:rPr>
        <w:t>而</w:t>
      </w:r>
      <w:r>
        <w:rPr>
          <w:rFonts w:hint="eastAsia" w:ascii="仿宋" w:hAnsi="仿宋" w:eastAsia="仿宋" w:cs="仿宋"/>
          <w:color w:val="auto"/>
        </w:rPr>
        <w:t>做题253849道，环比</w:t>
      </w:r>
      <w:r>
        <w:rPr>
          <w:rFonts w:hint="eastAsia" w:ascii="仿宋" w:hAnsi="仿宋" w:eastAsia="仿宋" w:cs="仿宋"/>
          <w:color w:val="auto"/>
          <w:lang w:val="en-US" w:eastAsia="zh-CN"/>
        </w:rPr>
        <w:t>增加118067</w:t>
      </w:r>
      <w:r>
        <w:rPr>
          <w:rFonts w:hint="eastAsia" w:ascii="仿宋" w:hAnsi="仿宋" w:eastAsia="仿宋" w:cs="仿宋"/>
          <w:color w:val="auto"/>
        </w:rPr>
        <w:t>道</w:t>
      </w:r>
      <w:r>
        <w:rPr>
          <w:rFonts w:hint="eastAsia" w:ascii="仿宋" w:hAnsi="仿宋" w:eastAsia="仿宋" w:cs="仿宋"/>
          <w:i w:val="0"/>
          <w:color w:val="auto"/>
          <w:kern w:val="0"/>
          <w:sz w:val="24"/>
          <w:szCs w:val="24"/>
          <w:u w:val="none"/>
          <w:lang w:val="en-US" w:eastAsia="zh-CN"/>
        </w:rPr>
        <w:t>，教学质量监控与评价中心认为，课件学习目的与作业目的多处存在重叠，应将二者统一看待，故属正常现象。</w:t>
      </w:r>
    </w:p>
    <w:p>
      <w:pPr>
        <w:spacing w:line="400" w:lineRule="exact"/>
        <w:ind w:firstLine="480" w:firstLineChars="200"/>
        <w:textAlignment w:val="center"/>
        <w:rPr>
          <w:rFonts w:hint="eastAsia" w:ascii="仿宋" w:hAnsi="仿宋" w:eastAsia="仿宋" w:cs="仿宋"/>
          <w:color w:val="auto"/>
        </w:rPr>
      </w:pPr>
      <w:r>
        <w:rPr>
          <w:rFonts w:hint="eastAsia" w:ascii="仿宋" w:hAnsi="仿宋" w:eastAsia="仿宋" w:cs="仿宋"/>
          <w:i w:val="0"/>
          <w:color w:val="auto"/>
          <w:kern w:val="0"/>
          <w:sz w:val="24"/>
          <w:szCs w:val="24"/>
          <w:u w:val="none"/>
          <w:lang w:val="en-US" w:eastAsia="zh-CN"/>
        </w:rPr>
        <w:t>综上所述，我院第四周线上教学运行总体平稳。</w:t>
      </w:r>
    </w:p>
    <w:p>
      <w:pPr>
        <w:spacing w:line="400" w:lineRule="exact"/>
        <w:ind w:firstLine="400"/>
        <w:jc w:val="center"/>
        <w:textAlignment w:val="center"/>
        <w:rPr>
          <w:rFonts w:hint="eastAsia" w:ascii="仿宋" w:hAnsi="仿宋" w:eastAsia="仿宋" w:cs="仿宋"/>
          <w:b/>
          <w:bCs/>
          <w:u w:val="none"/>
        </w:rPr>
      </w:pPr>
    </w:p>
    <w:p>
      <w:pPr>
        <w:spacing w:line="400" w:lineRule="exact"/>
        <w:jc w:val="center"/>
        <w:textAlignment w:val="center"/>
        <w:rPr>
          <w:rFonts w:ascii="仿宋" w:hAnsi="仿宋" w:eastAsia="仿宋" w:cs="仿宋"/>
          <w:b/>
          <w:bCs/>
        </w:rPr>
      </w:pPr>
      <w:r>
        <w:rPr>
          <w:rFonts w:hint="eastAsia" w:ascii="仿宋" w:hAnsi="仿宋" w:eastAsia="仿宋" w:cs="仿宋"/>
          <w:b/>
          <w:bCs/>
        </w:rPr>
        <w:t>表</w:t>
      </w:r>
      <w:r>
        <w:rPr>
          <w:rFonts w:hint="eastAsia" w:ascii="仿宋" w:hAnsi="仿宋" w:eastAsia="仿宋" w:cs="仿宋"/>
          <w:b/>
          <w:bCs/>
          <w:lang w:val="en-US" w:eastAsia="zh-CN"/>
        </w:rPr>
        <w:t>1</w:t>
      </w:r>
      <w:r>
        <w:rPr>
          <w:rFonts w:hint="eastAsia" w:ascii="仿宋" w:hAnsi="仿宋" w:eastAsia="仿宋" w:cs="仿宋"/>
          <w:b/>
          <w:bCs/>
        </w:rPr>
        <w:t xml:space="preserve">  </w:t>
      </w:r>
      <w:r>
        <w:rPr>
          <w:rFonts w:hint="eastAsia" w:ascii="仿宋" w:hAnsi="仿宋" w:eastAsia="仿宋" w:cs="仿宋"/>
          <w:b/>
          <w:bCs/>
          <w:lang w:eastAsia="zh-CN"/>
        </w:rPr>
        <w:t>第四周</w:t>
      </w:r>
      <w:r>
        <w:rPr>
          <w:rFonts w:hint="eastAsia" w:ascii="仿宋" w:hAnsi="仿宋" w:eastAsia="仿宋" w:cs="仿宋"/>
          <w:b/>
          <w:bCs/>
        </w:rPr>
        <w:t>学院线上教学情况表</w:t>
      </w:r>
    </w:p>
    <w:tbl>
      <w:tblPr>
        <w:tblStyle w:val="6"/>
        <w:tblW w:w="7260" w:type="dxa"/>
        <w:jc w:val="center"/>
        <w:tblLayout w:type="autofit"/>
        <w:tblCellMar>
          <w:top w:w="0" w:type="dxa"/>
          <w:left w:w="0" w:type="dxa"/>
          <w:bottom w:w="0" w:type="dxa"/>
          <w:right w:w="0" w:type="dxa"/>
        </w:tblCellMar>
      </w:tblPr>
      <w:tblGrid>
        <w:gridCol w:w="1452"/>
        <w:gridCol w:w="1452"/>
        <w:gridCol w:w="1452"/>
        <w:gridCol w:w="1452"/>
        <w:gridCol w:w="1452"/>
      </w:tblGrid>
      <w:tr>
        <w:tblPrEx>
          <w:tblCellMar>
            <w:top w:w="0" w:type="dxa"/>
            <w:left w:w="0" w:type="dxa"/>
            <w:bottom w:w="0" w:type="dxa"/>
            <w:right w:w="0" w:type="dxa"/>
          </w:tblCellMar>
        </w:tblPrEx>
        <w:trPr>
          <w:trHeight w:val="68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二级教</w:t>
            </w:r>
            <w:r>
              <w:rPr>
                <w:rFonts w:hint="eastAsia" w:ascii="仿宋" w:hAnsi="仿宋" w:eastAsia="仿宋" w:cs="仿宋"/>
                <w:b/>
              </w:rPr>
              <w:br w:type="textWrapping"/>
            </w:r>
            <w:r>
              <w:rPr>
                <w:rFonts w:hint="eastAsia" w:ascii="仿宋" w:hAnsi="仿宋" w:eastAsia="仿宋" w:cs="仿宋"/>
                <w:b/>
              </w:rPr>
              <w:t>学单位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开课</w:t>
            </w:r>
            <w:r>
              <w:rPr>
                <w:rFonts w:hint="eastAsia" w:ascii="仿宋" w:hAnsi="仿宋" w:eastAsia="仿宋" w:cs="仿宋"/>
                <w:b/>
              </w:rPr>
              <w:br w:type="textWrapping"/>
            </w:r>
            <w:r>
              <w:rPr>
                <w:rFonts w:hint="eastAsia" w:ascii="仿宋" w:hAnsi="仿宋" w:eastAsia="仿宋" w:cs="仿宋"/>
                <w:b/>
              </w:rPr>
              <w:t>门次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开课</w:t>
            </w:r>
            <w:r>
              <w:rPr>
                <w:rFonts w:hint="eastAsia" w:ascii="仿宋" w:hAnsi="仿宋" w:eastAsia="仿宋" w:cs="仿宋"/>
                <w:b/>
              </w:rPr>
              <w:br w:type="textWrapping"/>
            </w:r>
            <w:r>
              <w:rPr>
                <w:rFonts w:hint="eastAsia" w:ascii="仿宋" w:hAnsi="仿宋" w:eastAsia="仿宋" w:cs="仿宋"/>
                <w:b/>
              </w:rPr>
              <w:t>节次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教师线上</w:t>
            </w:r>
            <w:r>
              <w:rPr>
                <w:rFonts w:hint="eastAsia" w:ascii="仿宋" w:hAnsi="仿宋" w:eastAsia="仿宋" w:cs="仿宋"/>
                <w:b/>
              </w:rPr>
              <w:br w:type="textWrapping"/>
            </w:r>
            <w:r>
              <w:rPr>
                <w:rFonts w:hint="eastAsia" w:ascii="仿宋" w:hAnsi="仿宋" w:eastAsia="仿宋" w:cs="仿宋"/>
                <w:b/>
              </w:rPr>
              <w:t>教学人次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学生学习</w:t>
            </w:r>
            <w:r>
              <w:rPr>
                <w:rFonts w:hint="eastAsia" w:ascii="仿宋" w:hAnsi="仿宋" w:eastAsia="仿宋" w:cs="仿宋"/>
                <w:b/>
              </w:rPr>
              <w:br w:type="textWrapping"/>
            </w:r>
            <w:r>
              <w:rPr>
                <w:rFonts w:hint="eastAsia" w:ascii="仿宋" w:hAnsi="仿宋" w:eastAsia="仿宋" w:cs="仿宋"/>
                <w:b/>
              </w:rPr>
              <w:t>门次数</w:t>
            </w:r>
          </w:p>
        </w:tc>
      </w:tr>
      <w:tr>
        <w:tblPrEx>
          <w:tblCellMar>
            <w:top w:w="0" w:type="dxa"/>
            <w:left w:w="0" w:type="dxa"/>
            <w:bottom w:w="0" w:type="dxa"/>
            <w:right w:w="0" w:type="dxa"/>
          </w:tblCellMar>
        </w:tblPrEx>
        <w:trPr>
          <w:trHeight w:val="57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智能产业</w:t>
            </w:r>
            <w:r>
              <w:rPr>
                <w:rFonts w:hint="eastAsia" w:ascii="仿宋" w:hAnsi="仿宋" w:eastAsia="仿宋" w:cs="仿宋"/>
              </w:rPr>
              <w:br w:type="textWrapping"/>
            </w:r>
            <w:r>
              <w:rPr>
                <w:rFonts w:hint="eastAsia" w:ascii="仿宋" w:hAnsi="仿宋" w:eastAsia="仿宋" w:cs="仿宋"/>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73</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286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58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73</w:t>
            </w:r>
          </w:p>
        </w:tc>
      </w:tr>
      <w:tr>
        <w:tblPrEx>
          <w:tblCellMar>
            <w:top w:w="0" w:type="dxa"/>
            <w:left w:w="0" w:type="dxa"/>
            <w:bottom w:w="0" w:type="dxa"/>
            <w:right w:w="0" w:type="dxa"/>
          </w:tblCellMar>
        </w:tblPrEx>
        <w:trPr>
          <w:trHeight w:val="61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游戏产业</w:t>
            </w:r>
            <w:r>
              <w:rPr>
                <w:rFonts w:hint="eastAsia" w:ascii="仿宋" w:hAnsi="仿宋" w:eastAsia="仿宋" w:cs="仿宋"/>
              </w:rPr>
              <w:br w:type="textWrapping"/>
            </w:r>
            <w:r>
              <w:rPr>
                <w:rFonts w:hint="eastAsia" w:ascii="仿宋" w:hAnsi="仿宋" w:eastAsia="仿宋" w:cs="仿宋"/>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89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249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76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89</w:t>
            </w:r>
          </w:p>
        </w:tc>
      </w:tr>
      <w:tr>
        <w:tblPrEx>
          <w:tblCellMar>
            <w:top w:w="0" w:type="dxa"/>
            <w:left w:w="0" w:type="dxa"/>
            <w:bottom w:w="0" w:type="dxa"/>
            <w:right w:w="0" w:type="dxa"/>
          </w:tblCellMar>
        </w:tblPrEx>
        <w:trPr>
          <w:trHeight w:val="631"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经济管理系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45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128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45</w:t>
            </w:r>
          </w:p>
        </w:tc>
      </w:tr>
      <w:tr>
        <w:tblPrEx>
          <w:tblCellMar>
            <w:top w:w="0" w:type="dxa"/>
            <w:left w:w="0" w:type="dxa"/>
            <w:bottom w:w="0" w:type="dxa"/>
            <w:right w:w="0" w:type="dxa"/>
          </w:tblCellMar>
        </w:tblPrEx>
        <w:trPr>
          <w:trHeight w:val="60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建筑工程系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143</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39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47</w:t>
            </w:r>
          </w:p>
        </w:tc>
      </w:tr>
      <w:tr>
        <w:tblPrEx>
          <w:tblCellMar>
            <w:top w:w="0" w:type="dxa"/>
            <w:left w:w="0" w:type="dxa"/>
            <w:bottom w:w="0" w:type="dxa"/>
            <w:right w:w="0" w:type="dxa"/>
          </w:tblCellMar>
        </w:tblPrEx>
        <w:trPr>
          <w:trHeight w:val="63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公共基础部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127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254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127</w:t>
            </w:r>
          </w:p>
        </w:tc>
      </w:tr>
      <w:tr>
        <w:tblPrEx>
          <w:tblCellMar>
            <w:top w:w="0" w:type="dxa"/>
            <w:left w:w="0" w:type="dxa"/>
            <w:bottom w:w="0" w:type="dxa"/>
            <w:right w:w="0" w:type="dxa"/>
          </w:tblCellMar>
        </w:tblPrEx>
        <w:trPr>
          <w:trHeight w:val="632"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合计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381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1060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348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rPr>
            </w:pPr>
            <w:r>
              <w:rPr>
                <w:rFonts w:hint="eastAsia" w:ascii="仿宋" w:hAnsi="仿宋" w:eastAsia="仿宋" w:cs="仿宋"/>
                <w:lang w:val="en-US" w:eastAsia="zh-CN"/>
              </w:rPr>
              <w:t>381</w:t>
            </w:r>
          </w:p>
        </w:tc>
      </w:tr>
    </w:tbl>
    <w:p>
      <w:pPr>
        <w:spacing w:line="400" w:lineRule="exact"/>
        <w:jc w:val="center"/>
        <w:rPr>
          <w:rFonts w:hint="eastAsia" w:ascii="仿宋" w:hAnsi="仿宋" w:eastAsia="仿宋" w:cs="仿宋"/>
          <w:b/>
          <w:bCs/>
          <w:sz w:val="28"/>
          <w:szCs w:val="28"/>
        </w:rPr>
      </w:pPr>
    </w:p>
    <w:p>
      <w:pPr>
        <w:keepNext w:val="0"/>
        <w:keepLines w:val="0"/>
        <w:pageBreakBefore w:val="0"/>
        <w:widowControl/>
        <w:kinsoku/>
        <w:wordWrap/>
        <w:overflowPunct/>
        <w:topLinePunct w:val="0"/>
        <w:autoSpaceDE/>
        <w:autoSpaceDN/>
        <w:bidi w:val="0"/>
        <w:adjustRightInd/>
        <w:snapToGrid/>
        <w:spacing w:line="380" w:lineRule="exact"/>
        <w:jc w:val="center"/>
        <w:rPr>
          <w:rFonts w:ascii="仿宋" w:hAnsi="仿宋" w:eastAsia="仿宋" w:cs="仿宋"/>
          <w:b/>
          <w:bCs/>
          <w:sz w:val="28"/>
          <w:szCs w:val="28"/>
        </w:rPr>
      </w:pPr>
      <w:r>
        <w:rPr>
          <w:rFonts w:hint="eastAsia" w:ascii="仿宋" w:hAnsi="仿宋" w:eastAsia="仿宋" w:cs="仿宋"/>
          <w:b/>
          <w:bCs/>
          <w:sz w:val="28"/>
          <w:szCs w:val="28"/>
        </w:rPr>
        <w:t xml:space="preserve">第二部分  </w:t>
      </w:r>
      <w:r>
        <w:rPr>
          <w:rFonts w:hint="eastAsia" w:ascii="仿宋" w:hAnsi="仿宋" w:eastAsia="仿宋" w:cs="仿宋"/>
          <w:b/>
          <w:bCs/>
          <w:sz w:val="28"/>
          <w:szCs w:val="28"/>
          <w:lang w:eastAsia="zh-CN"/>
        </w:rPr>
        <w:t>第二批</w:t>
      </w:r>
      <w:r>
        <w:rPr>
          <w:rFonts w:hint="eastAsia" w:ascii="仿宋" w:hAnsi="仿宋" w:eastAsia="仿宋" w:cs="仿宋"/>
          <w:b/>
          <w:bCs/>
          <w:sz w:val="28"/>
          <w:szCs w:val="28"/>
        </w:rPr>
        <w:t>在线课程建设评价情况</w:t>
      </w:r>
    </w:p>
    <w:p>
      <w:pPr>
        <w:keepNext w:val="0"/>
        <w:keepLines w:val="0"/>
        <w:pageBreakBefore w:val="0"/>
        <w:widowControl/>
        <w:kinsoku/>
        <w:wordWrap/>
        <w:overflowPunct/>
        <w:topLinePunct w:val="0"/>
        <w:autoSpaceDE/>
        <w:autoSpaceDN/>
        <w:bidi w:val="0"/>
        <w:adjustRightInd/>
        <w:snapToGrid/>
        <w:spacing w:line="380" w:lineRule="exact"/>
        <w:ind w:firstLine="400"/>
        <w:textAlignment w:val="center"/>
        <w:rPr>
          <w:rFonts w:ascii="仿宋" w:hAnsi="仿宋" w:eastAsia="仿宋" w:cs="仿宋"/>
        </w:rPr>
      </w:pP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center"/>
        <w:rPr>
          <w:rFonts w:ascii="仿宋" w:hAnsi="仿宋" w:eastAsia="仿宋" w:cs="仿宋"/>
        </w:rPr>
      </w:pPr>
      <w:r>
        <w:rPr>
          <w:rFonts w:hint="eastAsia" w:ascii="仿宋" w:hAnsi="仿宋" w:eastAsia="仿宋" w:cs="仿宋"/>
        </w:rPr>
        <w:t>根据《福州软件职业技术学院在线课程建设评价办法》文件精神，经各在线课程组自评，各二级教学单位教学工作指导委员会审核认定。</w:t>
      </w:r>
      <w:r>
        <w:rPr>
          <w:rFonts w:hint="eastAsia" w:ascii="仿宋" w:hAnsi="仿宋" w:eastAsia="仿宋" w:cs="仿宋"/>
          <w:lang w:eastAsia="zh-CN"/>
        </w:rPr>
        <w:t>第二批</w:t>
      </w:r>
      <w:r>
        <w:rPr>
          <w:rFonts w:hint="eastAsia" w:ascii="仿宋" w:hAnsi="仿宋" w:eastAsia="仿宋" w:cs="仿宋"/>
          <w:lang w:val="en-US" w:eastAsia="zh-CN"/>
        </w:rPr>
        <w:t>38</w:t>
      </w:r>
      <w:r>
        <w:rPr>
          <w:rFonts w:hint="eastAsia" w:ascii="仿宋" w:hAnsi="仿宋" w:eastAsia="仿宋" w:cs="仿宋"/>
        </w:rPr>
        <w:t>门在线课程建设评审情况如下：</w:t>
      </w: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center"/>
      </w:pPr>
      <w:r>
        <w:rPr>
          <w:rFonts w:hint="eastAsia" w:ascii="仿宋" w:hAnsi="仿宋" w:eastAsia="仿宋" w:cs="仿宋"/>
        </w:rPr>
        <w:t>1.申报一类课程（优质在线课程）</w:t>
      </w:r>
      <w:r>
        <w:rPr>
          <w:rFonts w:hint="eastAsia" w:ascii="仿宋" w:hAnsi="仿宋" w:eastAsia="仿宋" w:cs="仿宋"/>
          <w:lang w:val="en-US" w:eastAsia="zh-CN"/>
        </w:rPr>
        <w:t>3</w:t>
      </w:r>
      <w:r>
        <w:rPr>
          <w:rFonts w:hint="eastAsia" w:ascii="仿宋" w:hAnsi="仿宋" w:eastAsia="仿宋" w:cs="仿宋"/>
        </w:rPr>
        <w:t>门。经教学质量监控与评价中心再次审核，退回</w:t>
      </w:r>
      <w:r>
        <w:rPr>
          <w:rFonts w:hint="eastAsia" w:ascii="仿宋" w:hAnsi="仿宋" w:eastAsia="仿宋" w:cs="仿宋"/>
          <w:lang w:val="en-US" w:eastAsia="zh-CN"/>
        </w:rPr>
        <w:t>2</w:t>
      </w:r>
      <w:r>
        <w:rPr>
          <w:rFonts w:hint="eastAsia" w:ascii="仿宋" w:hAnsi="仿宋" w:eastAsia="仿宋" w:cs="仿宋"/>
        </w:rPr>
        <w:t>门课程补正，核定</w:t>
      </w:r>
      <w:r>
        <w:rPr>
          <w:rFonts w:hint="eastAsia" w:ascii="仿宋" w:hAnsi="仿宋" w:eastAsia="仿宋" w:cs="仿宋"/>
          <w:lang w:val="en-US" w:eastAsia="zh-CN"/>
        </w:rPr>
        <w:t>1</w:t>
      </w:r>
      <w:r>
        <w:rPr>
          <w:rFonts w:hint="eastAsia" w:ascii="仿宋" w:hAnsi="仿宋" w:eastAsia="仿宋" w:cs="仿宋"/>
        </w:rPr>
        <w:t>门课程参评，根据文件要求，学院教学工作指导委员会将组织审查参评一类课程的申报材料，并根据评价指标体系进行分析研究，逐项打分、评价，最后对参评在线课程是否评为一类课程做出终审意见。</w:t>
      </w:r>
    </w:p>
    <w:p>
      <w:pPr>
        <w:keepNext w:val="0"/>
        <w:keepLines w:val="0"/>
        <w:pageBreakBefore w:val="0"/>
        <w:widowControl/>
        <w:kinsoku/>
        <w:wordWrap/>
        <w:overflowPunct/>
        <w:topLinePunct w:val="0"/>
        <w:autoSpaceDE/>
        <w:autoSpaceDN/>
        <w:bidi w:val="0"/>
        <w:adjustRightInd/>
        <w:snapToGrid/>
        <w:spacing w:line="380" w:lineRule="exact"/>
        <w:ind w:firstLine="480" w:firstLineChars="200"/>
        <w:textAlignment w:val="center"/>
        <w:rPr>
          <w:rFonts w:ascii="仿宋" w:hAnsi="仿宋" w:eastAsia="仿宋" w:cs="仿宋"/>
        </w:rPr>
      </w:pPr>
      <w:r>
        <w:rPr>
          <w:rFonts w:hint="eastAsia" w:ascii="仿宋" w:hAnsi="仿宋" w:eastAsia="仿宋" w:cs="仿宋"/>
        </w:rPr>
        <w:t>2.认定二类课程（合格在线课程）</w:t>
      </w:r>
      <w:r>
        <w:rPr>
          <w:rFonts w:hint="eastAsia" w:ascii="仿宋" w:hAnsi="仿宋" w:eastAsia="仿宋" w:cs="仿宋"/>
          <w:lang w:val="en-US" w:eastAsia="zh-CN"/>
        </w:rPr>
        <w:t>35</w:t>
      </w:r>
      <w:r>
        <w:rPr>
          <w:rFonts w:hint="eastAsia" w:ascii="仿宋" w:hAnsi="仿宋" w:eastAsia="仿宋" w:cs="仿宋"/>
        </w:rPr>
        <w:t>门。请各二级教学单位，坚持“以评促建，以评促改，以评促管，评建结合，重在建设”的原则，依照标准要求组织进行在线课程改革和建设。学院将根据标准每两年将重新审查一次。若有不符合评价指标的，或者教学质量明显下降的，则取消合格在线课程的称号。</w:t>
      </w:r>
    </w:p>
    <w:p>
      <w:pPr>
        <w:keepNext w:val="0"/>
        <w:keepLines w:val="0"/>
        <w:pageBreakBefore w:val="0"/>
        <w:widowControl/>
        <w:kinsoku/>
        <w:wordWrap/>
        <w:overflowPunct/>
        <w:topLinePunct w:val="0"/>
        <w:autoSpaceDE/>
        <w:autoSpaceDN/>
        <w:bidi w:val="0"/>
        <w:adjustRightInd/>
        <w:snapToGrid/>
        <w:spacing w:line="380" w:lineRule="exact"/>
        <w:jc w:val="center"/>
        <w:rPr>
          <w:rFonts w:ascii="仿宋" w:hAnsi="仿宋" w:eastAsia="仿宋" w:cs="仿宋"/>
          <w:b/>
          <w:bCs/>
        </w:rPr>
      </w:pPr>
    </w:p>
    <w:p>
      <w:pPr>
        <w:spacing w:line="400" w:lineRule="exact"/>
        <w:jc w:val="center"/>
        <w:rPr>
          <w:rFonts w:hint="eastAsia" w:ascii="仿宋" w:hAnsi="仿宋" w:eastAsia="仿宋" w:cs="仿宋"/>
          <w:b/>
          <w:bCs/>
        </w:rPr>
      </w:pPr>
      <w:r>
        <w:rPr>
          <w:rFonts w:hint="eastAsia" w:ascii="仿宋" w:hAnsi="仿宋" w:eastAsia="仿宋" w:cs="仿宋"/>
          <w:b/>
          <w:bCs/>
        </w:rPr>
        <w:t>表</w:t>
      </w:r>
      <w:r>
        <w:rPr>
          <w:rFonts w:hint="eastAsia" w:ascii="仿宋" w:hAnsi="仿宋" w:eastAsia="仿宋" w:cs="仿宋"/>
          <w:b/>
          <w:bCs/>
          <w:lang w:val="en-US" w:eastAsia="zh-CN"/>
        </w:rPr>
        <w:t>2</w:t>
      </w:r>
      <w:r>
        <w:rPr>
          <w:rFonts w:hint="eastAsia" w:ascii="仿宋" w:hAnsi="仿宋" w:eastAsia="仿宋" w:cs="仿宋"/>
          <w:b/>
          <w:bCs/>
        </w:rPr>
        <w:t xml:space="preserve">  </w:t>
      </w:r>
      <w:r>
        <w:rPr>
          <w:rFonts w:hint="eastAsia" w:ascii="仿宋" w:hAnsi="仿宋" w:eastAsia="仿宋" w:cs="仿宋"/>
          <w:b/>
          <w:bCs/>
          <w:lang w:eastAsia="zh-CN"/>
        </w:rPr>
        <w:t>第二批</w:t>
      </w:r>
      <w:r>
        <w:rPr>
          <w:rFonts w:hint="eastAsia" w:ascii="仿宋" w:hAnsi="仿宋" w:eastAsia="仿宋" w:cs="仿宋"/>
          <w:b/>
          <w:bCs/>
        </w:rPr>
        <w:t>在线课程建设评价情况表</w:t>
      </w:r>
    </w:p>
    <w:tbl>
      <w:tblPr>
        <w:tblStyle w:val="6"/>
        <w:tblW w:w="9733" w:type="dxa"/>
        <w:jc w:val="center"/>
        <w:shd w:val="clear" w:color="auto" w:fill="auto"/>
        <w:tblLayout w:type="autofit"/>
        <w:tblCellMar>
          <w:top w:w="0" w:type="dxa"/>
          <w:left w:w="0" w:type="dxa"/>
          <w:bottom w:w="0" w:type="dxa"/>
          <w:right w:w="0" w:type="dxa"/>
        </w:tblCellMar>
      </w:tblPr>
      <w:tblGrid>
        <w:gridCol w:w="384"/>
        <w:gridCol w:w="564"/>
        <w:gridCol w:w="1992"/>
        <w:gridCol w:w="1452"/>
        <w:gridCol w:w="648"/>
        <w:gridCol w:w="648"/>
        <w:gridCol w:w="780"/>
        <w:gridCol w:w="648"/>
        <w:gridCol w:w="1008"/>
        <w:gridCol w:w="1609"/>
      </w:tblGrid>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序</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号</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教学</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单位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名称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性质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学分</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学时</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建课</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教师</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总分</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等级</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备</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注</w:t>
            </w:r>
          </w:p>
        </w:tc>
      </w:tr>
      <w:tr>
        <w:tblPrEx>
          <w:shd w:val="clear" w:color="auto" w:fill="auto"/>
          <w:tblCellMar>
            <w:top w:w="0" w:type="dxa"/>
            <w:left w:w="0" w:type="dxa"/>
            <w:bottom w:w="0" w:type="dxa"/>
            <w:right w:w="0" w:type="dxa"/>
          </w:tblCellMar>
        </w:tblPrEx>
        <w:trPr>
          <w:trHeight w:val="1148"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智能产业学院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操作系统安全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黄培杰</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核定申报一类课程</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u w:val="none"/>
                <w:lang w:val="en-US"/>
              </w:rPr>
            </w:pPr>
            <w:r>
              <w:rPr>
                <w:rFonts w:hint="eastAsia" w:ascii="仿宋" w:hAnsi="仿宋" w:eastAsia="仿宋" w:cs="仿宋"/>
                <w:i w:val="0"/>
                <w:color w:val="000000"/>
                <w:kern w:val="0"/>
                <w:sz w:val="20"/>
                <w:szCs w:val="20"/>
                <w:u w:val="none"/>
                <w:lang w:val="en-US" w:eastAsia="zh-CN" w:bidi="ar"/>
              </w:rPr>
              <w:t>经教学质量监控与评价中心再次审核，课程自评报告、佐证材料尚不充分，不足以支撑各项评价得分，退回补正</w:t>
            </w:r>
          </w:p>
        </w:tc>
      </w:tr>
      <w:tr>
        <w:tblPrEx>
          <w:shd w:val="clear" w:color="auto" w:fill="auto"/>
          <w:tblCellMar>
            <w:top w:w="0" w:type="dxa"/>
            <w:left w:w="0" w:type="dxa"/>
            <w:bottom w:w="0" w:type="dxa"/>
            <w:right w:w="0" w:type="dxa"/>
          </w:tblCellMar>
        </w:tblPrEx>
        <w:trPr>
          <w:trHeight w:val="109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数据库设计及应用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陈秀丽</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核定申报一类课程</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微机原理与接口技术</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张善钦</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数字信号处理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张善钦</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电路与电子技术基础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张善钦</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JAVA程序设计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李楠</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Oracle数据库管理与程序设计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姚毅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10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w:t>
            </w:r>
          </w:p>
        </w:tc>
        <w:tc>
          <w:tcPr>
            <w:tcW w:w="564" w:type="dxa"/>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装饰图案</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李榕玲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核定申报一类课程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核定参评一类课程，按文件，学院教委会将组织进行终审</w:t>
            </w: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CG手绘</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郭抒婷</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10</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VI设计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林异珑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11</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材料造型</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职业拓展课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12</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Unity3D游戏设计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邢璎凡</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13</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三维角色动画制作</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许亚婧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14</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视听语言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职业拓展课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王泓</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影视鉴赏</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郭心宏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84</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16</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图形创意</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林薇</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17</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Q版游戏角色设计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18</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3ds Max</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吴建美</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77</w:t>
            </w:r>
          </w:p>
        </w:tc>
        <w:tc>
          <w:tcPr>
            <w:tcW w:w="1008" w:type="dxa"/>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19</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人机工程学</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张晓霞</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20</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VR引擎应用技术</w:t>
            </w:r>
          </w:p>
        </w:tc>
        <w:tc>
          <w:tcPr>
            <w:tcW w:w="1452" w:type="dxa"/>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姚毅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71</w:t>
            </w:r>
          </w:p>
        </w:tc>
        <w:tc>
          <w:tcPr>
            <w:tcW w:w="1008" w:type="dxa"/>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21</w:t>
            </w:r>
          </w:p>
        </w:tc>
        <w:tc>
          <w:tcPr>
            <w:tcW w:w="564" w:type="dxa"/>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Oracle数据库管理与程序设计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姚毅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22</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经济管理系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物流成本管理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蔡亮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报关实务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国际货运代理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林琛</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84</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保险理论与实务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职业核心课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林虹</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证券投资分析</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张瑶</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会计电算化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林菁</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28</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建筑工程系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建设工程项目管理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建筑材料</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李伟娜</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Photoshop</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许亚婧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二维三维构成设计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许亚婧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建设工程质量控制</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李伟娜</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建筑室内设计施工图绘制</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郑颖</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二维三维构成设计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兰臻</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建筑室内设计基础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徐芃鹏</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公共空间设计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王建平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8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37</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公共基础部</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毛泽东思想和中国特色社会主义理论体系概论</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公共基础课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吴海礁</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tblCellMar>
            <w:top w:w="0" w:type="dxa"/>
            <w:left w:w="0" w:type="dxa"/>
            <w:bottom w:w="0" w:type="dxa"/>
            <w:right w:w="0" w:type="dxa"/>
          </w:tblCellMar>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大学英语（二）</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通识教育课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陈行舟</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陈清芳</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黄琳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bl>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sz w:val="28"/>
          <w:szCs w:val="28"/>
        </w:rPr>
      </w:pP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第三部分  “停课不停教”典型案例</w:t>
      </w:r>
      <w:r>
        <w:rPr>
          <w:rFonts w:hint="eastAsia" w:ascii="仿宋" w:hAnsi="仿宋" w:eastAsia="仿宋" w:cs="仿宋"/>
          <w:b/>
          <w:bCs/>
          <w:sz w:val="28"/>
          <w:szCs w:val="28"/>
          <w:lang w:val="en-US" w:eastAsia="zh-CN"/>
        </w:rPr>
        <w:t>展示</w:t>
      </w:r>
    </w:p>
    <w:p>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MySQL数据库管理与程序设计</w:t>
      </w:r>
      <w:r>
        <w:rPr>
          <w:rFonts w:hint="eastAsia" w:ascii="仿宋" w:hAnsi="仿宋" w:eastAsia="仿宋" w:cs="仿宋"/>
          <w:b/>
          <w:bCs/>
          <w:sz w:val="24"/>
          <w:szCs w:val="24"/>
          <w:lang w:val="en-US" w:eastAsia="zh-CN"/>
        </w:rPr>
        <w:t>课程</w:t>
      </w:r>
      <w:r>
        <w:rPr>
          <w:rFonts w:hint="eastAsia" w:ascii="仿宋" w:hAnsi="仿宋" w:eastAsia="仿宋" w:cs="仿宋"/>
          <w:b/>
          <w:bCs/>
          <w:sz w:val="24"/>
          <w:szCs w:val="24"/>
        </w:rPr>
        <w:t>线上授课心得及经验分享</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智能产业学院  郑志建</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2019-2020第二学期的MySQL数据库管理与程序设计，因为疫情原因，不得不积极备战线上授课。对于线上授课这种新出来的事物，学院教职工大家一起积极保障线上教学，首先跟老师同仁们说句大家都辛苦了。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对于我来说，刚开始也是莫名的头大，但师者传道授业解惑也却也不得不硬着头皮去积极探索。一开始学校给我们广大老师提供了职教云等平台，也积极提供了直播的解决方案。我采用的方案是职教云+QQ直播的方案，保证了学生停课不停学，确保学生能够学到知识。</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职教云事先传送学习资料。</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职教云的资料可供学生预习以及复习</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QQ直播用来给学生直播投屏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我的课程是实操类较强的课程，仅凭借职教云平台并不能满足日常教学需求。所以我采用QQ直播投屏操作的方式，让学生能够跟得上我的进度，也能增加学生对该门课程的实操的概念。</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学生在职教云，预习并对该门课程进行反馈，反馈的问题我可以在后台看到，我也可以进一步调整自己的教学方案，学生在线上授课的情况下，更容易会提出一些质疑以及真正会反馈出该课程的一些问题。我在听取了学生在后台的实时反馈后积极调整了自己的教学方案。互动方面，职教云和QQ都可以进行教学活动，职教云用来点名效果非常好，QQ可以实时和学生进行问题反馈也是个不错的选择。</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033010" cy="2353945"/>
            <wp:effectExtent l="0" t="0" r="1143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033010" cy="23539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图1:学生在职教云上对教师课程进行评价</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这学期的MySQL数据库管理与程序设计的课上，由于之前我对MySQL数据库程序设计了解充分，课程扩展思维比较多，学生非常喜欢课程方面的拓展和衍生内容。尤其是19物联网工程技术的学生，由于是大一阶段，我自身也是物联网专业毕业的，之前也使用过MySQL数据库做过物联网的项目，所以讲授到MySQL数据库的时候会穿插自己以前做过的项目在里面，通过项目引导并驱动相关学生的学习激情。在课堂上的间隙下课阶段，我偶尔会把麦全都打开，允许学生能各抒己见并且在学生各抒己见的同时把与MySQL数据库管理与程序设计的问题分类总结并进行相关引导。</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对于线上上课的课后，我并没有布置太多作业，这跟我个人提倡的学习方法有关系，在课堂上遇到的问题就需要在课堂上解决，课后只是一个巩固阶段，所以我的课后任务一般都是让学生积极有效的把该堂课的知识点进行消化并提取。</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课后给学生我也有提供答疑的渠道，通过QQ和微信他们都可以找到我进行问题的咨询以及答疑，对于有些腼腆的学生，我会积极引导他们在课堂提出问题。</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例如: 在3月16号的MySQL数据库管理与程序设计的课堂，我引导一些学生，问物联网如何跟MySQL数据库进行结合，一些学生说通过传感器等设备获取的数据可以通过insert语句插入数据库，并且select语句可以对数据库中的数据进行查询，这必将加大他们对本专业的兴趣，相信他们学完MySQL数据库与程序设计也会对自己的专业有更深厚的了解。</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美国学者H·拉斯维尔于1948年在《传播在社会中的结构与功能》论文中首次提出了构成传播过程的五种基本要素，并按照一定结构顺序将它们排列，形成了后来人们称之“五W模式”或“拉斯维尔程式”的过程模式。在我的网课中，我也引入了5W模式用作教学。课程的教学不仅仅要教会学生</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Why：为什么要学MySQL数据库管理与程序设计</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What：数据库管理与程序设计究竟是怎么回事</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Where/When: 在什么时间/场景下我才能用到MySQL数据库</w:t>
      </w:r>
    </w:p>
    <w:p>
      <w:pPr>
        <w:keepNext w:val="0"/>
        <w:keepLines w:val="0"/>
        <w:pageBreakBefore w:val="0"/>
        <w:widowControl/>
        <w:numPr>
          <w:ilvl w:val="0"/>
          <w:numId w:val="1"/>
        </w:numPr>
        <w:kinsoku/>
        <w:wordWrap/>
        <w:overflowPunct/>
        <w:topLinePunct w:val="0"/>
        <w:autoSpaceDE/>
        <w:autoSpaceDN/>
        <w:bidi w:val="0"/>
        <w:adjustRightInd/>
        <w:snapToGrid/>
        <w:spacing w:line="400" w:lineRule="exact"/>
        <w:rPr>
          <w:rFonts w:hint="eastAsia" w:ascii="仿宋" w:hAnsi="仿宋" w:eastAsia="仿宋" w:cs="仿宋"/>
          <w:sz w:val="24"/>
          <w:szCs w:val="24"/>
        </w:rPr>
      </w:pPr>
      <w:r>
        <w:rPr>
          <w:rFonts w:hint="eastAsia" w:ascii="仿宋" w:hAnsi="仿宋" w:eastAsia="仿宋" w:cs="仿宋"/>
          <w:sz w:val="24"/>
          <w:szCs w:val="24"/>
        </w:rPr>
        <w:t>How: 如何用数据库对数据进行操作。</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鼓励学生多提出质疑，多提出问题，即使一些问题并不能即刻解决，也和学生在课下积极探讨。《管子·权修》：“一年之计，莫如树谷；十年之计，莫如树木；终身之计，莫如树人。如果培养的学生都不能提出为什么，那我觉得我的教育是失败的，好的课堂应该是学生和老师可以积极探讨并互动的一个活跃的课堂。</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2880" cy="2172970"/>
            <wp:effectExtent l="0" t="0" r="1016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62880" cy="21729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图2：19物联网工程技术在MySQL数据库课程上积极发言并讨论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最后的寄语：良好的师生关系有利于课程的扩展，让学生提出问题并解决学生问题的过程于学生于教师都是一个提高的过程。线上上课是一次不错的体验，我学会了做直播，学会了画图解释疑难问题，这些都可以丰富以后的线下授课。</w:t>
      </w:r>
    </w:p>
    <w:p>
      <w:pPr>
        <w:keepNext w:val="0"/>
        <w:keepLines w:val="0"/>
        <w:pageBreakBefore w:val="0"/>
        <w:widowControl/>
        <w:kinsoku/>
        <w:wordWrap/>
        <w:overflowPunct/>
        <w:topLinePunct w:val="0"/>
        <w:autoSpaceDE/>
        <w:autoSpaceDN/>
        <w:bidi w:val="0"/>
        <w:adjustRightInd/>
        <w:snapToGrid/>
        <w:spacing w:line="400" w:lineRule="exact"/>
        <w:ind w:firstLine="360" w:firstLineChars="150"/>
        <w:jc w:val="center"/>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“停课不停学”线上教学工作心得</w:t>
      </w:r>
    </w:p>
    <w:p>
      <w:pPr>
        <w:keepNext w:val="0"/>
        <w:keepLines w:val="0"/>
        <w:pageBreakBefore w:val="0"/>
        <w:widowControl/>
        <w:kinsoku/>
        <w:wordWrap/>
        <w:overflowPunct/>
        <w:topLinePunct w:val="0"/>
        <w:autoSpaceDE/>
        <w:autoSpaceDN/>
        <w:bidi w:val="0"/>
        <w:adjustRightInd/>
        <w:snapToGrid/>
        <w:spacing w:line="400" w:lineRule="exact"/>
        <w:ind w:firstLine="360" w:firstLineChars="150"/>
        <w:jc w:val="center"/>
        <w:rPr>
          <w:rFonts w:hint="eastAsia" w:ascii="仿宋" w:hAnsi="仿宋" w:eastAsia="仿宋" w:cs="仿宋"/>
          <w:sz w:val="24"/>
          <w:szCs w:val="24"/>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蒋逸凡</w:t>
      </w:r>
    </w:p>
    <w:p>
      <w:pPr>
        <w:keepNext w:val="0"/>
        <w:keepLines w:val="0"/>
        <w:pageBreakBefore w:val="0"/>
        <w:widowControl/>
        <w:kinsoku/>
        <w:wordWrap/>
        <w:overflowPunct/>
        <w:topLinePunct w:val="0"/>
        <w:autoSpaceDE/>
        <w:autoSpaceDN/>
        <w:bidi w:val="0"/>
        <w:adjustRightInd/>
        <w:snapToGrid/>
        <w:spacing w:line="400" w:lineRule="exact"/>
        <w:jc w:val="both"/>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依据学校疫情期间开展线上教学实施方案，充分发挥“互联网 +教育”线上优势，认真开展线上教学，确保班级学生线上学习学有所获，学有所成。本学期承担了三门课程的教学任务，对于我来说，虽然一节课只有短短的四十五分钟，但课前的准备工作却是格外“磨”教师的。尤其是对于从未涉足过的“线上教学”，更是“磨”上再加一层“磨”，线上教学对于每一位教师而言既是一次机遇也是一次挑战。下面我从三方面谈谈我的体会：</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一、课前准备：一切从磨砺出发</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磨教学平台，根据学校统一安排，我校使用职教云线上教学平台进行教学，经过近两小时的摸索、试用，利用 QQ群视频通话共享屏幕功能和腾讯课堂配合着职教云平台共同来完成我的线上教学。</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磨教学内容，选定了教学平台后，进入备课的关键环节，确定教学内容。根据教学设计，做到教学内容由浅入深，重难点突出，知识点逻辑清晰。因为本学期的课程以软件操作为主,所以在每次上课前事先录好了整个的操作流程的视频,这样可以确保授课过程不会受到电脑或者网速卡顿的影响,学生在课后如果在操作过程中遇到问题,也可以打开视频反复的学习研究。</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二、课中教学：此时无生似有生</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我的授课课程都是实践操作性较强的课程，要求学生动手能力强，例如： 每周四下午的《UV贴图制作》课程，上课前会在职教云平台上下达课前预习准备工作的内容，使同学们了解本节课的学习内容、学习目标、线上资源等。使用腾讯课堂共享桌面和语音的方式指导学生学习关于本次课的操作知识点并做好相关笔记，课程中结合辅导与答疑，布置作业，安排任务，收取作业等环节。因为该门课需要用到手绘板结合软件进行绘图，对于19数展的学生来讲是第一次使用，所以需要对每位同学的作品进行一对一的“作业门诊”修改，针对自己的作品有哪些需要改进的地方，如何进行改进，是每位同学十分关切的问题。虽然不能做到面对面的进行修改，但是通过画面和声音传递，丝毫不影响同学们的学习热情，通过网络大家一起讨论交流制作心得。从学习效果可以看出，同学们对网课热情度极高，初次使用手绘板完成的第一份作业非常出色，使我对他们刮目相看，对他们也有了新的认识（作业如下图）。</w:t>
      </w:r>
    </w:p>
    <w:p>
      <w:pPr>
        <w:keepNext w:val="0"/>
        <w:keepLines w:val="0"/>
        <w:pageBreakBefore w:val="0"/>
        <w:widowControl/>
        <w:kinsoku/>
        <w:wordWrap/>
        <w:overflowPunct/>
        <w:topLinePunct w:val="0"/>
        <w:autoSpaceDE/>
        <w:autoSpaceDN/>
        <w:bidi w:val="0"/>
        <w:adjustRightInd/>
        <w:snapToGrid/>
        <w:spacing w:line="4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三、课后反思：绝知此事要躬行</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首次尝试“线上教学”，使我对“互联网 +教育”有了更深刻的认识，一方面，线上教育使教师和学生联系更加密切，学生们也利用互联网开启了汲取知识的大门。另一方面，通过便捷的数据反馈，使得学校能够更直接的掌握每名师生的工作学习状态，对线上教学技术的掌握都愈发成熟，为教育信息化发展积累了宝贵的经验。 我相信在未来我会更好地利用线上教学方式，扬长避短，让线上和线下相辅相成。</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当下，面对疫情，作为一名专职教师，好好备课，上好网络直播课，保证学生的学习质量，就是在履行自己的另一份防疫责任。</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center"/>
        <w:rPr>
          <w:rFonts w:hint="eastAsia" w:ascii="仿宋" w:hAnsi="仿宋" w:eastAsia="仿宋" w:cs="仿宋"/>
          <w:sz w:val="24"/>
          <w:szCs w:val="24"/>
        </w:rPr>
      </w:pPr>
      <w:r>
        <w:rPr>
          <w:rFonts w:hint="eastAsia" w:ascii="仿宋" w:hAnsi="仿宋" w:eastAsia="仿宋" w:cs="仿宋"/>
          <w:sz w:val="24"/>
          <w:szCs w:val="24"/>
        </w:rPr>
        <w:t>以下为19数字展示技术专业部分同学第一张作业—木头纹理绘制：</w:t>
      </w:r>
    </w:p>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仿宋" w:hAnsi="仿宋" w:eastAsia="仿宋" w:cs="仿宋"/>
          <w:sz w:val="24"/>
          <w:szCs w:val="24"/>
        </w:rPr>
      </w:pPr>
      <w:r>
        <w:drawing>
          <wp:inline distT="0" distB="0" distL="114300" distR="114300">
            <wp:extent cx="5236845" cy="7498715"/>
            <wp:effectExtent l="0" t="0" r="5715" b="1460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7"/>
                    <a:stretch>
                      <a:fillRect/>
                    </a:stretch>
                  </pic:blipFill>
                  <pic:spPr>
                    <a:xfrm>
                      <a:off x="0" y="0"/>
                      <a:ext cx="5236845" cy="74987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both"/>
        <w:rPr>
          <w:rFonts w:hint="eastAsia" w:ascii="仿宋" w:hAnsi="仿宋" w:eastAsia="仿宋" w:cs="仿宋"/>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《材料造型》课程线上教学典型案例</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林烨</w:t>
      </w:r>
    </w:p>
    <w:p>
      <w:pPr>
        <w:keepNext w:val="0"/>
        <w:keepLines w:val="0"/>
        <w:pageBreakBefore w:val="0"/>
        <w:widowControl/>
        <w:kinsoku/>
        <w:wordWrap/>
        <w:overflowPunct/>
        <w:topLinePunct w:val="0"/>
        <w:autoSpaceDE/>
        <w:autoSpaceDN/>
        <w:bidi w:val="0"/>
        <w:adjustRightInd/>
        <w:snapToGrid/>
        <w:spacing w:line="400" w:lineRule="exact"/>
        <w:ind w:firstLine="420"/>
        <w:rPr>
          <w:rFonts w:hint="eastAsia" w:ascii="仿宋" w:hAnsi="仿宋" w:eastAsia="仿宋" w:cs="仿宋"/>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门课程是《材料造型》是一门职业拓展课程，授课方向为19级动漫制作技术专业，本周教学章节是《造型中的基础美术》中的其中一节——人体基本结构与比例。教授班级为19动漫制作VR方向两个班和19级动漫设计一个班。在这门课程学习之前，为了引起学生对课程的兴趣，我将引入一个画画PK的小游戏，把班级分成若干个组，每组成员在5或6个人左右，分别由第一个人自由构图画角色，第二个人参照第一个人的画临摹出，过程可以改动，后面的组员以此类推。同学们积极参与，我根据创意程度选出其中一个小组为灵魂画手并给与组员加平时分。这个游戏进展的比较顺利，通过游戏了解学生的造型能力方面，有的班级有的学生比较擅长画画，有的同学擅长创作，这样又可以调动他们的积极性。</w:t>
      </w:r>
    </w:p>
    <w:p>
      <w:pPr>
        <w:keepNext w:val="0"/>
        <w:keepLines w:val="0"/>
        <w:pageBreakBefore w:val="0"/>
        <w:widowControl/>
        <w:kinsoku/>
        <w:wordWrap/>
        <w:overflowPunct/>
        <w:topLinePunct w:val="0"/>
        <w:autoSpaceDE/>
        <w:autoSpaceDN/>
        <w:bidi w:val="0"/>
        <w:adjustRightInd/>
        <w:snapToGrid/>
        <w:spacing w:line="400" w:lineRule="exact"/>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开始，向同学说明学习人体基本结构和比例对于后续课程的重要性，由于线上教学，没办法直接向同学演示，少了一些肢体语言的表达，我通过图文对照，让学生对比自己的身体结构作为对比来进行讲解。在“人体基本结构与比例中”比较难点应该是在人体比例上，通过一些照片来分析给同学看，第二头身是从什么位置开始什么位置截止，第三头身是从什么位置开始什么位置截止，以此类推，也通过让学生拿自己的身体作为比较，帮助学生强化记忆。并且教课过程，我不是完全都是由自己来讲解，会让学生自己观察然后采取提问方式，让学生将自己观察的实际情况进行复述，我认为比起把知识直接讲述给同学不如引导学生去观察得出结论来让学生印象更加深刻。在重点掌握人体面部的三庭五眼时候，让学生先表述自己认为好看的明星的样貌，通过分析明星样貌来引入三庭五眼的知识点，并配合图文讲解，是标准三庭是哪到哪，标准的五眼又是怎么回事。比如有同学提出喜欢“肖战”这个男演员，觉得他长得很好看，我找到他的照片，通过他的面部五官的位置进行比对，把问题抛给学生“同学们，从正视图来看，肖战的外眼角到内眼角为一个单位，横向来看，被分为几等分”同学测量了一下，告诉我答案是五等分，眼睛刚好也能放下一个眼睛的位置。请另一个同学回答那么耳窝的最上端到面部的什么部位呢？同学们观察回答是到眉弓骨的位置。</w:t>
      </w:r>
    </w:p>
    <w:p>
      <w:pPr>
        <w:keepNext w:val="0"/>
        <w:keepLines w:val="0"/>
        <w:pageBreakBefore w:val="0"/>
        <w:widowControl/>
        <w:kinsoku/>
        <w:wordWrap/>
        <w:overflowPunct/>
        <w:topLinePunct w:val="0"/>
        <w:autoSpaceDE/>
        <w:autoSpaceDN/>
        <w:bidi w:val="0"/>
        <w:adjustRightInd/>
        <w:snapToGrid/>
        <w:spacing w:line="400" w:lineRule="exact"/>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本次教学最大心得体会就是，要想让学生们记住知识点，还是把问题多抛给学生，引导回答，在他们找的答案以后会记得更加深刻。</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lang w:val="en-US" w:eastAsia="zh-CN"/>
        </w:rPr>
      </w:pPr>
      <w:r>
        <w:drawing>
          <wp:anchor distT="0" distB="0" distL="114300" distR="114300" simplePos="0" relativeHeight="251658240" behindDoc="0" locked="0" layoutInCell="1" allowOverlap="1">
            <wp:simplePos x="0" y="0"/>
            <wp:positionH relativeFrom="column">
              <wp:posOffset>-668020</wp:posOffset>
            </wp:positionH>
            <wp:positionV relativeFrom="paragraph">
              <wp:posOffset>-56515</wp:posOffset>
            </wp:positionV>
            <wp:extent cx="1405890" cy="8849995"/>
            <wp:effectExtent l="0" t="0" r="11430" b="4445"/>
            <wp:wrapNone/>
            <wp:docPr id="6" name="图片 6" descr="杨玫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杨玫小组"/>
                    <pic:cNvPicPr>
                      <a:picLocks noChangeAspect="1"/>
                    </pic:cNvPicPr>
                  </pic:nvPicPr>
                  <pic:blipFill>
                    <a:blip r:embed="rId8"/>
                    <a:stretch>
                      <a:fillRect/>
                    </a:stretch>
                  </pic:blipFill>
                  <pic:spPr>
                    <a:xfrm>
                      <a:off x="0" y="0"/>
                      <a:ext cx="1405890" cy="884999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4559300</wp:posOffset>
            </wp:positionH>
            <wp:positionV relativeFrom="paragraph">
              <wp:posOffset>-14605</wp:posOffset>
            </wp:positionV>
            <wp:extent cx="1253490" cy="8846820"/>
            <wp:effectExtent l="0" t="0" r="11430" b="7620"/>
            <wp:wrapNone/>
            <wp:docPr id="7" name="图片 7" descr="第二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二组"/>
                    <pic:cNvPicPr>
                      <a:picLocks noChangeAspect="1"/>
                    </pic:cNvPicPr>
                  </pic:nvPicPr>
                  <pic:blipFill>
                    <a:blip r:embed="rId9"/>
                    <a:stretch>
                      <a:fillRect/>
                    </a:stretch>
                  </pic:blipFill>
                  <pic:spPr>
                    <a:xfrm>
                      <a:off x="0" y="0"/>
                      <a:ext cx="1253490" cy="8846820"/>
                    </a:xfrm>
                    <a:prstGeom prst="rect">
                      <a:avLst/>
                    </a:prstGeom>
                  </pic:spPr>
                </pic:pic>
              </a:graphicData>
            </a:graphic>
          </wp:anchor>
        </w:drawing>
      </w:r>
      <w:r>
        <w:drawing>
          <wp:inline distT="0" distB="0" distL="114300" distR="114300">
            <wp:extent cx="3684905" cy="1977390"/>
            <wp:effectExtent l="0" t="0" r="3175" b="3810"/>
            <wp:docPr id="5" name="图片 5" descr="4M0[43T5Q23C`ERY}5K`[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M0[43T5Q23C`ERY}5K`[J8"/>
                    <pic:cNvPicPr>
                      <a:picLocks noChangeAspect="1"/>
                    </pic:cNvPicPr>
                  </pic:nvPicPr>
                  <pic:blipFill>
                    <a:blip r:embed="rId10"/>
                    <a:stretch>
                      <a:fillRect/>
                    </a:stretch>
                  </pic:blipFill>
                  <pic:spPr>
                    <a:xfrm>
                      <a:off x="0" y="0"/>
                      <a:ext cx="3684905" cy="19773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pPr>
    </w:p>
    <w:p>
      <w:pPr>
        <w:keepNext w:val="0"/>
        <w:keepLines w:val="0"/>
        <w:pageBreakBefore w:val="0"/>
        <w:widowControl/>
        <w:kinsoku/>
        <w:wordWrap/>
        <w:overflowPunct/>
        <w:topLinePunct w:val="0"/>
        <w:autoSpaceDE/>
        <w:autoSpaceDN/>
        <w:bidi w:val="0"/>
        <w:adjustRightInd/>
        <w:snapToGrid/>
        <w:spacing w:line="240" w:lineRule="auto"/>
        <w:jc w:val="center"/>
      </w:pPr>
    </w:p>
    <w:p>
      <w:pPr>
        <w:keepNext w:val="0"/>
        <w:keepLines w:val="0"/>
        <w:pageBreakBefore w:val="0"/>
        <w:widowControl/>
        <w:kinsoku/>
        <w:wordWrap/>
        <w:overflowPunct/>
        <w:topLinePunct w:val="0"/>
        <w:autoSpaceDE/>
        <w:autoSpaceDN/>
        <w:bidi w:val="0"/>
        <w:adjustRightInd/>
        <w:snapToGrid/>
        <w:spacing w:line="240" w:lineRule="auto"/>
        <w:jc w:val="center"/>
      </w:pP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lang w:val="en-US" w:eastAsia="zh-CN"/>
        </w:rPr>
      </w:pPr>
      <w:r>
        <w:drawing>
          <wp:inline distT="0" distB="0" distL="114300" distR="114300">
            <wp:extent cx="3672840" cy="2755900"/>
            <wp:effectExtent l="0" t="0" r="0" b="2540"/>
            <wp:docPr id="13314" name="Picture 2" descr="Img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Img0000"/>
                    <pic:cNvPicPr>
                      <a:picLocks noChangeAspect="1"/>
                    </pic:cNvPicPr>
                  </pic:nvPicPr>
                  <pic:blipFill>
                    <a:blip r:embed="rId11"/>
                    <a:stretch>
                      <a:fillRect/>
                    </a:stretch>
                  </pic:blipFill>
                  <pic:spPr>
                    <a:xfrm>
                      <a:off x="0" y="0"/>
                      <a:ext cx="3672840" cy="27559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ind w:firstLine="420"/>
        <w:rPr>
          <w:rFonts w:hint="eastAsia" w:ascii="仿宋" w:hAnsi="仿宋" w:eastAsia="仿宋" w:cs="仿宋"/>
          <w:sz w:val="24"/>
          <w:szCs w:val="24"/>
          <w:lang w:val="en-US" w:eastAsia="zh-CN"/>
        </w:rPr>
      </w:pPr>
    </w:p>
    <w:p>
      <w:pPr>
        <w:keepNext w:val="0"/>
        <w:keepLines w:val="0"/>
        <w:pageBreakBefore w:val="0"/>
        <w:widowControl/>
        <w:shd w:val="clear"/>
        <w:kinsoku/>
        <w:wordWrap/>
        <w:overflowPunct/>
        <w:topLinePunct w:val="0"/>
        <w:autoSpaceDE/>
        <w:autoSpaceDN/>
        <w:bidi w:val="0"/>
        <w:adjustRightInd/>
        <w:snapToGrid/>
        <w:spacing w:line="240" w:lineRule="auto"/>
        <w:ind w:firstLine="420"/>
        <w:jc w:val="left"/>
        <w:rPr>
          <w:rFonts w:hint="eastAsia" w:ascii="仿宋" w:hAnsi="仿宋" w:eastAsia="仿宋" w:cs="仿宋"/>
          <w:sz w:val="24"/>
          <w:szCs w:val="24"/>
          <w:lang w:val="en-US" w:eastAsia="zh-CN"/>
        </w:rPr>
      </w:pPr>
      <w:r>
        <w:rPr>
          <w:rFonts w:hint="eastAsia"/>
          <w:lang w:val="en-US" w:eastAsia="zh-CN"/>
        </w:rPr>
        <w:t xml:space="preserve">                            </w:t>
      </w:r>
    </w:p>
    <w:p>
      <w:pPr>
        <w:rPr>
          <w:rFonts w:hint="eastAsia" w:ascii="仿宋" w:hAnsi="仿宋" w:eastAsia="仿宋" w:cs="仿宋"/>
          <w:b/>
          <w:sz w:val="24"/>
          <w:szCs w:val="24"/>
        </w:rPr>
      </w:pPr>
      <w:r>
        <w:rPr>
          <w:rFonts w:hint="eastAsia" w:ascii="仿宋" w:hAnsi="仿宋" w:eastAsia="仿宋" w:cs="仿宋"/>
          <w:b/>
          <w:sz w:val="24"/>
          <w:szCs w:val="24"/>
        </w:rPr>
        <w:br w:type="page"/>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用心做桥梁，架起远程教育</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Cs/>
          <w:sz w:val="24"/>
          <w:szCs w:val="24"/>
        </w:rPr>
      </w:pPr>
      <w:r>
        <w:rPr>
          <w:rFonts w:hint="eastAsia" w:ascii="仿宋" w:hAnsi="仿宋" w:eastAsia="仿宋" w:cs="仿宋"/>
          <w:bCs/>
          <w:sz w:val="24"/>
          <w:szCs w:val="24"/>
        </w:rPr>
        <w:t>建筑工程系</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林思琦</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Cs/>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bookmarkStart w:id="0" w:name="_Hlk34231275"/>
      <w:r>
        <w:rPr>
          <w:rFonts w:hint="eastAsia" w:ascii="仿宋" w:hAnsi="仿宋" w:eastAsia="仿宋" w:cs="仿宋"/>
          <w:sz w:val="24"/>
          <w:szCs w:val="24"/>
        </w:rPr>
        <w:t>《建筑识图与室内设计制图》是一门理论和实际相结合的，具有很强的专业性和普遍性的课程，该课程主要讲授建筑识图的基本知识、建筑形体的的投影、建筑施工图的识读与绘制、计算机绘图及建筑构造的知识。这需要扎实的理论基础和大量的实践指导，</w:t>
      </w:r>
      <w:bookmarkEnd w:id="0"/>
      <w:r>
        <w:rPr>
          <w:rFonts w:hint="eastAsia" w:ascii="仿宋" w:hAnsi="仿宋" w:eastAsia="仿宋" w:cs="仿宋"/>
          <w:sz w:val="24"/>
          <w:szCs w:val="24"/>
        </w:rPr>
        <w:t>我在这次网络教学工作为了提高课堂教学、课堂效率、教学水平等方面做了大量的工作。</w:t>
      </w:r>
      <w:r>
        <w:rPr>
          <w:rFonts w:hint="eastAsia" w:ascii="仿宋" w:hAnsi="仿宋" w:eastAsia="仿宋" w:cs="仿宋"/>
          <w:sz w:val="24"/>
          <w:szCs w:val="24"/>
        </w:rPr>
        <w:cr/>
      </w:r>
      <w:r>
        <w:rPr>
          <w:rFonts w:hint="eastAsia" w:ascii="仿宋" w:hAnsi="仿宋" w:eastAsia="仿宋" w:cs="仿宋"/>
          <w:sz w:val="24"/>
          <w:szCs w:val="24"/>
        </w:rPr>
        <w:t xml:space="preserve"> 　  一、课前教材的准备是教学工作基石</w:t>
      </w:r>
      <w:r>
        <w:rPr>
          <w:rFonts w:hint="eastAsia" w:ascii="仿宋" w:hAnsi="仿宋" w:eastAsia="仿宋" w:cs="仿宋"/>
          <w:sz w:val="24"/>
          <w:szCs w:val="24"/>
        </w:rPr>
        <w:cr/>
      </w:r>
      <w:r>
        <w:rPr>
          <w:rFonts w:hint="eastAsia" w:ascii="仿宋" w:hAnsi="仿宋" w:eastAsia="仿宋" w:cs="仿宋"/>
          <w:sz w:val="24"/>
          <w:szCs w:val="24"/>
        </w:rPr>
        <w:t xml:space="preserve">    严格执行学校要求的课程计划，做好线上教学的相关前期工作，准备好课程标准、教案、教学进度表等，并且在职教云上上传课程相关视频、课件、习题等，组建好教学班级，做好开课准备。认真学习新的教育理论，及时更新教育理念。为适应教育的发展，不断的提高自身教学水平，并且提高教育理念。主要学习班级包括：19级建筑室内设计专业、19级建筑室内设计（VR方向）专业，一共58名学生。</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二、学生了解我，才能得到学生的信任</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课前进行自我介绍，并告知学生电话、微信、QQ号方便学生能及时跟我沟通，也方便我了解学生的情况。并且在第一次课上对课程进行了介绍，强调课程的重要性和以后学习的方法，提高学生对课程的认识和积极性。</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三、软件、硬件都要上，是好课堂的保障</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开课前做好硬件和软件的准备，在电脑上提前安装好职教云、腾讯课堂、QQ课堂等软件，并配合手写板、手机支架等硬件设备。为网络课堂做好了充分的准备，提高了教学的效率，让学生在家中也能有好的课堂体验，确保教学质量。</w:t>
      </w:r>
    </w:p>
    <w:p>
      <w:pPr>
        <w:keepNext w:val="0"/>
        <w:keepLines w:val="0"/>
        <w:pageBreakBefore w:val="0"/>
        <w:widowControl/>
        <w:kinsoku/>
        <w:wordWrap/>
        <w:overflowPunct/>
        <w:topLinePunct w:val="0"/>
        <w:autoSpaceDE/>
        <w:autoSpaceDN/>
        <w:bidi w:val="0"/>
        <w:adjustRightInd/>
        <w:snapToGrid/>
        <w:spacing w:line="240" w:lineRule="auto"/>
        <w:ind w:firstLine="1680" w:firstLineChars="70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887980" cy="2887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课堂设备的准备</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四、有声音和学生沟通，用文字和学生传达，用心和学生交流</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课前五分钟，我会提前通知学生进入职教云和腾讯课堂做好准备。在教学中，我运用直播的方式，配合手绘板直播进行讲解，并且在课堂上进行绘图直播，让学生能够身临其境的感受，并且有利于学生的模仿和练习。严格按照课前导学、模块探究、总结归纳的教学步骤组织教学。在课堂上关注学生的情况和发展，通过采用老师讲解，学生进行实践，根据学生在课堂上实践作业与同学们共同探讨，并且发起投票、讨论等方式进行讨论、反思。让问题能够及时解决，同时开发学生的学习能力和创造力。关注全体学生，注意信息反馈，及时在课堂中发现学生提出的问题，并及时回答，这样能调动学生的注意力。掌握好课堂的教学节奏，使学生能够劳逸结合，提高听课效率。</w:t>
      </w:r>
    </w:p>
    <w:p>
      <w:pPr>
        <w:keepNext w:val="0"/>
        <w:keepLines w:val="0"/>
        <w:pageBreakBefore w:val="0"/>
        <w:widowControl/>
        <w:kinsoku/>
        <w:wordWrap/>
        <w:overflowPunct/>
        <w:topLinePunct w:val="0"/>
        <w:autoSpaceDE/>
        <w:autoSpaceDN/>
        <w:bidi w:val="0"/>
        <w:adjustRightInd/>
        <w:snapToGrid/>
        <w:spacing w:line="240" w:lineRule="auto"/>
        <w:ind w:firstLine="1680" w:firstLineChars="70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661285" cy="1996440"/>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995" cy="2008657"/>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446020" cy="1376680"/>
            <wp:effectExtent l="0" t="0" r="762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7984" cy="1389358"/>
                    </a:xfrm>
                    <a:prstGeom prst="rect">
                      <a:avLst/>
                    </a:prstGeom>
                    <a:noFill/>
                    <a:ln>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0" distR="0">
            <wp:extent cx="2603500" cy="1390015"/>
            <wp:effectExtent l="0" t="0" r="254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475" cy="140529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240" w:lineRule="auto"/>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678430" cy="15697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033" cy="1599110"/>
                    </a:xfrm>
                    <a:prstGeom prst="rect">
                      <a:avLst/>
                    </a:prstGeom>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0" distR="0">
            <wp:extent cx="2385060" cy="1577975"/>
            <wp:effectExtent l="0" t="0" r="762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123" cy="16126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上课的过程</w:t>
      </w:r>
    </w:p>
    <w:p>
      <w:pPr>
        <w:keepNext w:val="0"/>
        <w:keepLines w:val="0"/>
        <w:pageBreakBefore w:val="0"/>
        <w:widowControl/>
        <w:kinsoku/>
        <w:wordWrap/>
        <w:overflowPunct/>
        <w:topLinePunct w:val="0"/>
        <w:autoSpaceDE/>
        <w:autoSpaceDN/>
        <w:bidi w:val="0"/>
        <w:adjustRightInd/>
        <w:snapToGrid/>
        <w:spacing w:line="400" w:lineRule="exact"/>
        <w:jc w:val="left"/>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五、课后辅导，学生更爱你</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为了提高教学质量，我两周到三周组织一次课后辅导工作，根据学生的作业情况，进行总结。对于学生们学习过程或课后学习产生的问题进行收集，并且统一解决，帮助学生们提高学习成绩，从而提高学生的学习兴趣。</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831080" cy="2591435"/>
            <wp:effectExtent l="0" t="0" r="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1773" cy="2597512"/>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课后的软件指导</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 xml:space="preserve">六、在努力教学的同时，我们也要学会总结，才能共同进步 </w:t>
      </w:r>
      <w:r>
        <w:rPr>
          <w:rFonts w:hint="eastAsia" w:ascii="仿宋" w:hAnsi="仿宋" w:eastAsia="仿宋" w:cs="仿宋"/>
          <w:sz w:val="24"/>
          <w:szCs w:val="24"/>
        </w:rPr>
        <w:cr/>
      </w:r>
      <w:r>
        <w:rPr>
          <w:rFonts w:hint="eastAsia" w:ascii="仿宋" w:hAnsi="仿宋" w:eastAsia="仿宋" w:cs="仿宋"/>
          <w:sz w:val="24"/>
          <w:szCs w:val="24"/>
        </w:rPr>
        <w:t>　　由于现在是网络教学的情况，有许多鼓励学生的教学活动无法开展，对于提高学生的积极性有所影响。同时由于我无法面对面辅导学生，导致部分教学工作尚处于被动局面，对学生课堂情况的掌控能力减弱。根据以上的问题，我对课程有了进一步的打算：</w:t>
      </w:r>
    </w:p>
    <w:p>
      <w:pPr>
        <w:keepNext w:val="0"/>
        <w:keepLines w:val="0"/>
        <w:pageBreakBefore w:val="0"/>
        <w:widowControl/>
        <w:kinsoku/>
        <w:wordWrap/>
        <w:overflowPunct/>
        <w:topLinePunct w:val="0"/>
        <w:autoSpaceDE/>
        <w:autoSpaceDN/>
        <w:bidi w:val="0"/>
        <w:adjustRightInd/>
        <w:snapToGrid/>
        <w:spacing w:line="400" w:lineRule="exact"/>
        <w:ind w:firstLine="564"/>
        <w:rPr>
          <w:rFonts w:hint="eastAsia" w:ascii="仿宋" w:hAnsi="仿宋" w:eastAsia="仿宋" w:cs="仿宋"/>
          <w:sz w:val="24"/>
          <w:szCs w:val="24"/>
        </w:rPr>
      </w:pPr>
      <w:r>
        <w:rPr>
          <w:rFonts w:hint="eastAsia" w:ascii="仿宋" w:hAnsi="仿宋" w:eastAsia="仿宋" w:cs="仿宋"/>
          <w:sz w:val="24"/>
          <w:szCs w:val="24"/>
        </w:rPr>
        <w:t>１、在教学工作的中心环节上进行修改，特别关注课堂教学中的“有效性、参与性和差异性”，提高课堂气氛，增加同学的上课积极性，多进行课堂讨论等活动。</w:t>
      </w:r>
      <w:r>
        <w:rPr>
          <w:rFonts w:hint="eastAsia" w:ascii="仿宋" w:hAnsi="仿宋" w:eastAsia="仿宋" w:cs="仿宋"/>
          <w:sz w:val="24"/>
          <w:szCs w:val="24"/>
        </w:rPr>
        <w:cr/>
      </w:r>
      <w:r>
        <w:rPr>
          <w:rFonts w:hint="eastAsia" w:ascii="仿宋" w:hAnsi="仿宋" w:eastAsia="仿宋" w:cs="仿宋"/>
          <w:sz w:val="24"/>
          <w:szCs w:val="24"/>
        </w:rPr>
        <w:t xml:space="preserve"> 　 ２、认真做好常规教学管理的每一个环节，根据同学们提出的问题进行教学方式的调整，为同学们创造一个良好的学习环境，提高学生的学习积极性。</w:t>
      </w:r>
      <w:r>
        <w:rPr>
          <w:rFonts w:hint="eastAsia" w:ascii="仿宋" w:hAnsi="仿宋" w:eastAsia="仿宋" w:cs="仿宋"/>
          <w:sz w:val="24"/>
          <w:szCs w:val="24"/>
        </w:rPr>
        <w:cr/>
      </w:r>
      <w:r>
        <w:rPr>
          <w:rFonts w:hint="eastAsia" w:ascii="仿宋" w:hAnsi="仿宋" w:eastAsia="仿宋" w:cs="仿宋"/>
          <w:sz w:val="24"/>
          <w:szCs w:val="24"/>
        </w:rPr>
        <w:t xml:space="preserve"> 　 3、我要及时和学生沟通，提早发现问题，提出问题，研究问题，并解决问题。</w:t>
      </w:r>
    </w:p>
    <w:p>
      <w:pPr>
        <w:keepNext w:val="0"/>
        <w:keepLines w:val="0"/>
        <w:pageBreakBefore w:val="0"/>
        <w:widowControl/>
        <w:kinsoku/>
        <w:wordWrap/>
        <w:overflowPunct/>
        <w:topLinePunct w:val="0"/>
        <w:autoSpaceDE/>
        <w:autoSpaceDN/>
        <w:bidi w:val="0"/>
        <w:adjustRightInd/>
        <w:snapToGrid/>
        <w:spacing w:line="400" w:lineRule="exact"/>
        <w:ind w:firstLine="564"/>
        <w:rPr>
          <w:rFonts w:hint="eastAsia" w:ascii="仿宋" w:hAnsi="仿宋" w:eastAsia="仿宋" w:cs="仿宋"/>
          <w:sz w:val="24"/>
          <w:szCs w:val="24"/>
        </w:rPr>
      </w:pPr>
      <w:r>
        <w:rPr>
          <w:rFonts w:hint="eastAsia" w:ascii="仿宋" w:hAnsi="仿宋" w:eastAsia="仿宋" w:cs="仿宋"/>
          <w:sz w:val="24"/>
          <w:szCs w:val="24"/>
        </w:rPr>
        <w:t>相信只要用心对待工作，用认真、仔细、耐心对待每一位学生，多倾听他们的声音，就能够做的更好。</w:t>
      </w:r>
    </w:p>
    <w:p>
      <w:pPr>
        <w:keepNext w:val="0"/>
        <w:keepLines w:val="0"/>
        <w:pageBreakBefore w:val="0"/>
        <w:widowControl/>
        <w:kinsoku/>
        <w:wordWrap/>
        <w:overflowPunct/>
        <w:topLinePunct w:val="0"/>
        <w:autoSpaceDE/>
        <w:autoSpaceDN/>
        <w:bidi w:val="0"/>
        <w:adjustRightInd/>
        <w:snapToGrid/>
        <w:spacing w:line="400" w:lineRule="exact"/>
        <w:ind w:firstLine="564"/>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beforeLines="50" w:afterLines="50" w:line="400" w:lineRule="exact"/>
        <w:ind w:firstLine="482" w:firstLineChars="200"/>
        <w:jc w:val="center"/>
        <w:textAlignment w:val="auto"/>
        <w:rPr>
          <w:rFonts w:hint="eastAsia" w:ascii="仿宋" w:hAnsi="仿宋" w:eastAsia="仿宋" w:cs="仿宋"/>
          <w:b/>
          <w:bCs/>
          <w:sz w:val="24"/>
          <w:szCs w:val="24"/>
        </w:rPr>
      </w:pPr>
    </w:p>
    <w:p>
      <w:pPr>
        <w:keepNext w:val="0"/>
        <w:keepLines w:val="0"/>
        <w:pageBreakBefore w:val="0"/>
        <w:widowControl/>
        <w:kinsoku/>
        <w:wordWrap/>
        <w:overflowPunct/>
        <w:topLinePunct w:val="0"/>
        <w:autoSpaceDE/>
        <w:autoSpaceDN/>
        <w:bidi w:val="0"/>
        <w:adjustRightInd/>
        <w:snapToGrid/>
        <w:spacing w:beforeLines="50" w:afterLines="50" w:line="400" w:lineRule="exact"/>
        <w:ind w:firstLine="482" w:firstLineChars="200"/>
        <w:jc w:val="center"/>
        <w:textAlignment w:val="auto"/>
        <w:rPr>
          <w:rFonts w:hint="eastAsia" w:ascii="仿宋" w:hAnsi="仿宋" w:eastAsia="仿宋" w:cs="仿宋"/>
          <w:b/>
          <w:bCs/>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停课不停学，经管系“以赛促学”</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经济管理</w:t>
      </w:r>
      <w:r>
        <w:rPr>
          <w:rFonts w:hint="eastAsia" w:ascii="仿宋" w:hAnsi="仿宋" w:eastAsia="仿宋" w:cs="仿宋"/>
          <w:kern w:val="0"/>
          <w:sz w:val="24"/>
          <w:szCs w:val="24"/>
        </w:rPr>
        <w:t>系</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蔡亮</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kern w:val="0"/>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面对突如其来的新型冠状病毒肺炎疫情，为全力做好疫情防控工作，经管系紧锣密鼓地开展“停课不停学”的线上教学工作。这其中有一位非常可爱的蔡亮老师，她将供应链管理专业领域的线上赛事引入到教学活动中，“以赛促学”，取得了可喜的教学效果。蔡亮老师通过自己的职场经验和职场资源主动联系中国物流与采购联合会，报名参加由该协会主办的第一届全国供应链大赛（高职组）。同时，她在授课过程中根据学生的技能水平、大赛经验和参与意愿选拔了8名同学组成两支参赛队伍，分别是“蓦然回首”团队和“灯火阑珊”团队。团队引用南宋词人</w:t>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"https://hanyu.baidu.com/s?wd=%E8%BE%9B%E5%BC%83%E7%96%BE"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辛弃疾的《青玉案·元夕》中的 </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名句“</w:t>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"https://www.baidu.com/s?wd=%E4%BC%97%E9%87%8C%E5%AF%BB%E4%BB%96%E5%8D%83%E7%99%BE%E5%BA%A6&amp;tn=SE_PcZhidaonwhc_ngpagmjz&amp;rsv_dl=gh_pc_zhidao" \t "_blank"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t>众里寻他千百度</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蓦然回首，那人却在，灯火阑珊处”取名，表达了团队坚持不懈，苦苦探索的决心，也寓意只要努力就终究会在大赛中取得长足的进步，不论是否被发现，优秀总是会悄然而至。“蓦然回首”团队成员包括19级物流管理专业陈健、彭佳艺、娄贵敏，19级会计专业郑毅林；团队“灯火阑珊”成员包括18级物流管理专业徐巍、19级物流管理专业刘迪、19级物流管理专业杨雅婷、18级物流金融管理专业薛宇榕。</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蔡亮老师和同学们利用课余时间</w:t>
      </w:r>
      <w:r>
        <w:rPr>
          <w:rFonts w:hint="eastAsia" w:ascii="仿宋" w:hAnsi="仿宋" w:eastAsia="仿宋" w:cs="仿宋"/>
          <w:kern w:val="0"/>
          <w:sz w:val="24"/>
          <w:szCs w:val="24"/>
        </w:rPr>
        <w:t>全身心地投入到紧张的大赛之中。蔡亮老师制定了严格的训练计划、建立微信群，在课余时间争分夺秒进行视频指导。她时刻记录同学们在赛事中所做的每一个决策并加以详细分析，解答同学们遇到的问题，并筹划新的改进方案。除此以外，她还积极收集、整理竞赛学习资源，指导学生高效训练。令人无比感动的是，蔡亮老师和团队成员基本上是废寝忘食，24小时在线，白天课余时间打网赛，晚上一起复盘、总结、讨论、部署第二天的比赛战术。甚至为了比较不同方案的优劣，一直工作到凌晨。功夫不负有心人，从阶段性赛况来看，同学们的比赛成绩稳步提高，自信心也逐渐增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kern w:val="0"/>
          <w:sz w:val="24"/>
          <w:szCs w:val="24"/>
        </w:rPr>
        <w:t>每当为蔡亮老师的爱岗敬业深深触动时，蔡老师总是轻描淡写地说“没做什么，只是让孩子们多长长见识”。要知道这项艰苦的指导工作并不在教学计划中，也没有考核要求，只是因为它对学生的成长有帮助，蔡亮老师就愿意付出时间、精力去尝试，这完全是出于对教学工作的热爱和高度负责感。</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接下来，经管系将充分发挥各专业优势，将财务管理、市场营销、投资理财等课程的专任教师充实到教师指导团队中，和蔡老师一道进一步开拓比赛资源，完善竞赛方案，争取在赛场上取得佳绩！</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kern w:val="0"/>
          <w:sz w:val="24"/>
          <w:szCs w:val="24"/>
        </w:rPr>
      </w:pPr>
      <w:r>
        <w:drawing>
          <wp:inline distT="0" distB="0" distL="114300" distR="114300">
            <wp:extent cx="5274310" cy="3321685"/>
            <wp:effectExtent l="0" t="0" r="13970" b="63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9"/>
                    <a:stretch>
                      <a:fillRect/>
                    </a:stretch>
                  </pic:blipFill>
                  <pic:spPr>
                    <a:xfrm>
                      <a:off x="0" y="0"/>
                      <a:ext cx="5274310" cy="33216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 w:hAnsi="仿宋" w:eastAsia="仿宋" w:cs="仿宋"/>
          <w:kern w:val="0"/>
          <w:sz w:val="24"/>
          <w:szCs w:val="24"/>
        </w:rPr>
      </w:pPr>
      <w:r>
        <w:drawing>
          <wp:inline distT="0" distB="0" distL="114300" distR="114300">
            <wp:extent cx="5271135" cy="3186430"/>
            <wp:effectExtent l="0" t="0" r="1905" b="1397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20"/>
                    <a:stretch>
                      <a:fillRect/>
                    </a:stretch>
                  </pic:blipFill>
                  <pic:spPr>
                    <a:xfrm>
                      <a:off x="0" y="0"/>
                      <a:ext cx="5271135" cy="31864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我院学生与全国大学生同上一堂疫情防控思政大课</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sz w:val="24"/>
          <w:szCs w:val="24"/>
        </w:rPr>
      </w:pPr>
      <w:r>
        <w:rPr>
          <w:rFonts w:hint="eastAsia" w:ascii="仿宋" w:hAnsi="仿宋" w:eastAsia="仿宋" w:cs="仿宋"/>
          <w:sz w:val="24"/>
          <w:szCs w:val="24"/>
        </w:rPr>
        <w:t>思政教研部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2020年3月9日（星期一）</w:t>
      </w:r>
      <w:r>
        <w:rPr>
          <w:rFonts w:hint="eastAsia" w:ascii="仿宋" w:hAnsi="仿宋" w:eastAsia="仿宋" w:cs="仿宋"/>
          <w:sz w:val="24"/>
          <w:szCs w:val="24"/>
          <w:lang w:eastAsia="zh-CN"/>
        </w:rPr>
        <w:t>下午</w:t>
      </w:r>
      <w:r>
        <w:rPr>
          <w:rFonts w:hint="eastAsia" w:ascii="仿宋" w:hAnsi="仿宋" w:eastAsia="仿宋" w:cs="仿宋"/>
          <w:sz w:val="24"/>
          <w:szCs w:val="24"/>
        </w:rPr>
        <w:t>，根据教育部社会科学司的文件要求，我院组织全院思政工作者和全体学生在线共同参加“全国大学生同上一堂疫情防控思政大课”在线学习活动。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在举国上下万众一心、众志成城做好新冠肺炎疫情防控工作的特殊时刻，</w:t>
      </w:r>
      <w:r>
        <w:rPr>
          <w:rFonts w:hint="eastAsia" w:ascii="仿宋" w:hAnsi="仿宋" w:eastAsia="仿宋" w:cs="仿宋"/>
          <w:sz w:val="24"/>
          <w:szCs w:val="24"/>
          <w:lang w:eastAsia="zh-CN"/>
        </w:rPr>
        <w:t>这一堂疫情防控思政大课，旨在引导广大学生</w:t>
      </w:r>
      <w:r>
        <w:rPr>
          <w:rFonts w:hint="eastAsia" w:ascii="仿宋" w:hAnsi="仿宋" w:eastAsia="仿宋" w:cs="仿宋"/>
          <w:sz w:val="24"/>
          <w:szCs w:val="24"/>
        </w:rPr>
        <w:t>深刻认识中国抗疫彰显的中国共产党领导和中国特色社会主义制度的显著优势</w:t>
      </w:r>
      <w:r>
        <w:rPr>
          <w:rFonts w:hint="eastAsia" w:ascii="仿宋" w:hAnsi="仿宋" w:eastAsia="仿宋" w:cs="仿宋"/>
          <w:sz w:val="24"/>
          <w:szCs w:val="24"/>
          <w:lang w:eastAsia="zh-CN"/>
        </w:rPr>
        <w:t>，坚定在</w:t>
      </w:r>
      <w:r>
        <w:rPr>
          <w:rFonts w:hint="eastAsia" w:ascii="仿宋" w:hAnsi="仿宋" w:eastAsia="仿宋" w:cs="仿宋"/>
          <w:sz w:val="24"/>
          <w:szCs w:val="24"/>
        </w:rPr>
        <w:t>以习近平同志为核心的党中央坚强领导下打赢这场疫情防控阻击战的信心和决心</w:t>
      </w:r>
      <w:r>
        <w:rPr>
          <w:rFonts w:hint="eastAsia" w:ascii="仿宋" w:hAnsi="仿宋" w:eastAsia="仿宋" w:cs="仿宋"/>
          <w:sz w:val="24"/>
          <w:szCs w:val="24"/>
          <w:lang w:eastAsia="zh-CN"/>
        </w:rPr>
        <w:t>。我</w:t>
      </w:r>
      <w:r>
        <w:rPr>
          <w:rFonts w:hint="eastAsia" w:ascii="仿宋" w:hAnsi="仿宋" w:eastAsia="仿宋" w:cs="仿宋"/>
          <w:sz w:val="24"/>
          <w:szCs w:val="24"/>
        </w:rPr>
        <w:t>院党委</w:t>
      </w:r>
      <w:r>
        <w:rPr>
          <w:rFonts w:hint="eastAsia" w:ascii="仿宋" w:hAnsi="仿宋" w:eastAsia="仿宋" w:cs="仿宋"/>
          <w:sz w:val="24"/>
          <w:szCs w:val="24"/>
          <w:lang w:eastAsia="zh-CN"/>
        </w:rPr>
        <w:t>亦</w:t>
      </w:r>
      <w:r>
        <w:rPr>
          <w:rFonts w:hint="eastAsia" w:ascii="仿宋" w:hAnsi="仿宋" w:eastAsia="仿宋" w:cs="仿宋"/>
          <w:sz w:val="24"/>
          <w:szCs w:val="24"/>
        </w:rPr>
        <w:t>高度重视本次“思政大课”活动，组织了全院50多个行政班2500多名师生在线认真听讲了艾四林、秦宣、王炳林、冯秀军4位主讲专家的在线</w:t>
      </w:r>
      <w:r>
        <w:rPr>
          <w:rFonts w:hint="eastAsia" w:ascii="仿宋" w:hAnsi="仿宋" w:eastAsia="仿宋" w:cs="仿宋"/>
          <w:sz w:val="24"/>
          <w:szCs w:val="24"/>
          <w:lang w:eastAsia="zh-CN"/>
        </w:rPr>
        <w:t>思政大课。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在收看疫情防控思政大课的过程中，我们很欣慰地看到了同学们的学习热情。直播开始前，同学们就互相提醒收看；直播中个别同学出现卡顿、无法收看的问题，其他同学积极在交流群中给予帮助和建议，思政教研部的老师也积极及时指导；听专家讲课的过程中，同学们也互相交流了看法，积极讨论学习内容；因其他课程没有收看直播的同学们，也在课余时间收看了回播……一时间，“疫情防控思政大课”成了同学们的交流热点。</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课后，</w:t>
      </w:r>
      <w:r>
        <w:rPr>
          <w:rFonts w:hint="eastAsia" w:ascii="仿宋" w:hAnsi="仿宋" w:eastAsia="仿宋" w:cs="仿宋"/>
          <w:sz w:val="24"/>
          <w:szCs w:val="24"/>
          <w:lang w:eastAsia="zh-CN"/>
        </w:rPr>
        <w:t>为了深化同学们对于本次大课的学习内容，巩固学习成果，</w:t>
      </w:r>
      <w:r>
        <w:rPr>
          <w:rFonts w:hint="eastAsia" w:ascii="仿宋" w:hAnsi="仿宋" w:eastAsia="仿宋" w:cs="仿宋"/>
          <w:sz w:val="24"/>
          <w:szCs w:val="24"/>
        </w:rPr>
        <w:t>由思政教研部具体安排、思政辅导员参与，组织同学们在智慧职教平台或直播间</w:t>
      </w:r>
      <w:r>
        <w:rPr>
          <w:rFonts w:hint="eastAsia" w:ascii="仿宋" w:hAnsi="仿宋" w:eastAsia="仿宋" w:cs="仿宋"/>
          <w:sz w:val="24"/>
          <w:szCs w:val="24"/>
          <w:lang w:eastAsia="zh-CN"/>
        </w:rPr>
        <w:t>，</w:t>
      </w:r>
      <w:r>
        <w:rPr>
          <w:rFonts w:hint="eastAsia" w:ascii="仿宋" w:hAnsi="仿宋" w:eastAsia="仿宋" w:cs="仿宋"/>
          <w:sz w:val="24"/>
          <w:szCs w:val="24"/>
        </w:rPr>
        <w:t>结合本学期的“毛泽东思想和中国特色社会主义理论体系概论”“形势与政策 ”“思想道德修养与法律基础”3门思政课程，主动畅谈、踊跃讨论、仔细总结，通过专家的解读，进一步清楚了党中央关于疫情防控的决策部署，了解了中国抗疫彰显的中国共产党领导和中国特色社会主义制度的显著优势，认真听讲了防疫抗疫一线的感人故事，进一步发挥了高校思政课落实立德树人根本任务的关键课程作用，引导大学生传承和弘扬爱国主义精神，增强中国特色社会主义道路自信、理论自信、制度自信、文化自信。</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经过在线课间4位专家的高质量讲授，课后思政工作者积极主动参与线上讨论、引导和互动，思政教研部还把专家的讲课专题讲稿和视频分享到学生QQ群和智慧职教云平台，以供学生随时回看，收到了良好教育教学效果，同学们反映热烈。</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19级智能产品开发专业温雅泠同学认为，这场突如其来的疫情，中国政府以前所未有的强力措施和透明姿态，使得全世界更加清晰、真实地了解到中国的发展现状。尽管落井下石的反华势力绝不会缺席这个可以奚落和黑化中国的机会，但也有越来越多的国际友人被中国政府和民众抗击疫情的团结、勇敢、负责的精神所打动，更加坚定了与中国并肩作战的决心。为我们的祖国感到骄傲。</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元制、19级建设工程管理专业陈海燕同学表示，在实现中国梦的过程中，在全国上下共同抗击新冠状病毒疫情的重大考验中，自己作为一名基层工作者应该具备更加强烈的社会责任感和使命感，对抗疫情、防控疫情就是自己的职业责任和初心使命，我们必须按照党中央的具体部署和要求做好防控疫情工作，确保社会安定稳定。</w:t>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退役军人、19级市场营销专业曾明锟同学表示，这次疫情对自己的事业或多或少有些影响，但是凡事不能只看负面的，也要报以乐观的心态面对，做一些力所能及的事情，与全国人民上下齐心协力，共同抗疫。</w:t>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397760" cy="2850515"/>
            <wp:effectExtent l="0" t="0" r="1016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srcRect/>
                    <a:stretch>
                      <a:fillRect/>
                    </a:stretch>
                  </pic:blipFill>
                  <pic:spPr>
                    <a:xfrm>
                      <a:off x="0" y="0"/>
                      <a:ext cx="2398091" cy="2850515"/>
                    </a:xfrm>
                    <a:prstGeom prst="rect">
                      <a:avLst/>
                    </a:prstGeom>
                    <a:noFill/>
                    <a:ln w="9525">
                      <a:noFill/>
                      <a:miter lim="800000"/>
                      <a:headEnd/>
                      <a:tailEnd/>
                    </a:ln>
                  </pic:spPr>
                </pic:pic>
              </a:graphicData>
            </a:graphic>
          </wp:inline>
        </w:drawing>
      </w:r>
      <w:r>
        <w:rPr>
          <w:rFonts w:hint="eastAsia" w:ascii="仿宋" w:hAnsi="仿宋" w:eastAsia="仿宋" w:cs="仿宋"/>
          <w:sz w:val="24"/>
          <w:szCs w:val="24"/>
        </w:rPr>
        <w:drawing>
          <wp:inline distT="0" distB="0" distL="0" distR="0">
            <wp:extent cx="2722880" cy="2864485"/>
            <wp:effectExtent l="0" t="0" r="508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srcRect/>
                    <a:stretch>
                      <a:fillRect/>
                    </a:stretch>
                  </pic:blipFill>
                  <pic:spPr>
                    <a:xfrm>
                      <a:off x="0" y="0"/>
                      <a:ext cx="2722880" cy="2864485"/>
                    </a:xfrm>
                    <a:prstGeom prst="rect">
                      <a:avLst/>
                    </a:prstGeom>
                    <a:noFill/>
                    <a:ln w="9525">
                      <a:noFill/>
                      <a:miter lim="800000"/>
                      <a:headEnd/>
                      <a:tailEnd/>
                    </a:ln>
                  </pic:spPr>
                </pic:pic>
              </a:graphicData>
            </a:graphic>
          </wp:inline>
        </w:drawing>
      </w:r>
      <w:r>
        <w:rPr>
          <w:rFonts w:hint="eastAsia" w:ascii="仿宋" w:hAnsi="仿宋" w:eastAsia="仿宋" w:cs="仿宋"/>
          <w:sz w:val="24"/>
          <w:szCs w:val="24"/>
        </w:rPr>
        <w:drawing>
          <wp:inline distT="0" distB="0" distL="0" distR="0">
            <wp:extent cx="2691765" cy="2792730"/>
            <wp:effectExtent l="0" t="0" r="571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cstate="print"/>
                    <a:srcRect/>
                    <a:stretch>
                      <a:fillRect/>
                    </a:stretch>
                  </pic:blipFill>
                  <pic:spPr>
                    <a:xfrm>
                      <a:off x="0" y="0"/>
                      <a:ext cx="2691765" cy="2792730"/>
                    </a:xfrm>
                    <a:prstGeom prst="rect">
                      <a:avLst/>
                    </a:prstGeom>
                    <a:noFill/>
                    <a:ln w="9525">
                      <a:noFill/>
                      <a:miter lim="800000"/>
                      <a:headEnd/>
                      <a:tailEnd/>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drawing>
          <wp:inline distT="0" distB="0" distL="0" distR="0">
            <wp:extent cx="2489835" cy="2799715"/>
            <wp:effectExtent l="0" t="0" r="952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cstate="print"/>
                    <a:srcRect/>
                    <a:stretch>
                      <a:fillRect/>
                    </a:stretch>
                  </pic:blipFill>
                  <pic:spPr>
                    <a:xfrm>
                      <a:off x="0" y="0"/>
                      <a:ext cx="2490232" cy="279971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2376805"/>
            <wp:effectExtent l="0" t="0" r="1397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cstate="print"/>
                    <a:srcRect/>
                    <a:stretch>
                      <a:fillRect/>
                    </a:stretch>
                  </pic:blipFill>
                  <pic:spPr>
                    <a:xfrm>
                      <a:off x="0" y="0"/>
                      <a:ext cx="5274310" cy="237698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2456180"/>
            <wp:effectExtent l="0" t="0" r="13970"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cstate="print"/>
                    <a:srcRect/>
                    <a:stretch>
                      <a:fillRect/>
                    </a:stretch>
                  </pic:blipFill>
                  <pic:spPr>
                    <a:xfrm>
                      <a:off x="0" y="0"/>
                      <a:ext cx="5274310" cy="2456357"/>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2505710"/>
            <wp:effectExtent l="0" t="0" r="1397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cstate="print"/>
                    <a:srcRect/>
                    <a:stretch>
                      <a:fillRect/>
                    </a:stretch>
                  </pic:blipFill>
                  <pic:spPr>
                    <a:xfrm>
                      <a:off x="0" y="0"/>
                      <a:ext cx="5274310" cy="250571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center"/>
        <w:rPr>
          <w:rFonts w:hint="eastAsia" w:ascii="宋体" w:hAnsi="宋体" w:eastAsia="宋体" w:cs="宋体"/>
          <w:kern w:val="0"/>
          <w:sz w:val="24"/>
          <w:szCs w:val="24"/>
        </w:rPr>
      </w:pPr>
    </w:p>
    <w:sectPr>
      <w:footerReference r:id="rId3" w:type="default"/>
      <w:pgSz w:w="11906" w:h="16838"/>
      <w:pgMar w:top="1304" w:right="1800" w:bottom="1304" w:left="180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黑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16205" cy="139700"/>
              <wp:effectExtent l="0" t="0" r="0" b="0"/>
              <wp:wrapNone/>
              <wp:docPr id="4097" name="文本框 1"/>
              <wp:cNvGraphicFramePr/>
              <a:graphic xmlns:a="http://schemas.openxmlformats.org/drawingml/2006/main">
                <a:graphicData uri="http://schemas.microsoft.com/office/word/2010/wordprocessingShape">
                  <wps:wsp>
                    <wps:cNvSpPr/>
                    <wps:spPr>
                      <a:xfrm>
                        <a:off x="0" y="0"/>
                        <a:ext cx="116205" cy="139700"/>
                      </a:xfrm>
                      <a:prstGeom prst="rect">
                        <a:avLst/>
                      </a:prstGeom>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1pt;width:9.15pt;mso-position-horizontal:center;mso-position-horizontal-relative:margin;mso-wrap-style:none;z-index:1024;mso-width-relative:page;mso-height-relative:page;" filled="f" stroked="f" coordsize="21600,21600" o:gfxdata="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dDqf0QAA&#10;AAMBAAAPAAAAAAAAAAEAIAAAACIAAABkcnMvZG93bnJldi54bWxQSwECFAAUAAAACACHTuJAwK29&#10;OrMBAABCAwAADgAAAAAAAAABACAAAAAgAQAAZHJzL2Uyb0RvYy54bWxQSwUGAAAAAAYABgBZAQAA&#10;RQU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43718"/>
    <w:multiLevelType w:val="multilevel"/>
    <w:tmpl w:val="1E54371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112"/>
    <w:rsid w:val="001471DC"/>
    <w:rsid w:val="001F6E39"/>
    <w:rsid w:val="00263B18"/>
    <w:rsid w:val="004E2866"/>
    <w:rsid w:val="005476FF"/>
    <w:rsid w:val="005D4ED7"/>
    <w:rsid w:val="00611735"/>
    <w:rsid w:val="00AC16C7"/>
    <w:rsid w:val="00E5040A"/>
    <w:rsid w:val="00E71112"/>
    <w:rsid w:val="014E2625"/>
    <w:rsid w:val="014E727B"/>
    <w:rsid w:val="018356B4"/>
    <w:rsid w:val="0195699D"/>
    <w:rsid w:val="01CD034C"/>
    <w:rsid w:val="02425DB3"/>
    <w:rsid w:val="02502ADE"/>
    <w:rsid w:val="02603D8F"/>
    <w:rsid w:val="02620FD5"/>
    <w:rsid w:val="0263554C"/>
    <w:rsid w:val="029C076C"/>
    <w:rsid w:val="029C78FE"/>
    <w:rsid w:val="033D33A5"/>
    <w:rsid w:val="03F9348D"/>
    <w:rsid w:val="040C6527"/>
    <w:rsid w:val="0414747B"/>
    <w:rsid w:val="041E55EE"/>
    <w:rsid w:val="052E46A0"/>
    <w:rsid w:val="052F0BF9"/>
    <w:rsid w:val="05307FBE"/>
    <w:rsid w:val="053201FC"/>
    <w:rsid w:val="053720E4"/>
    <w:rsid w:val="05832459"/>
    <w:rsid w:val="05E10B15"/>
    <w:rsid w:val="05FE42DD"/>
    <w:rsid w:val="05FF33E5"/>
    <w:rsid w:val="05FF596C"/>
    <w:rsid w:val="069E5585"/>
    <w:rsid w:val="06CC7446"/>
    <w:rsid w:val="075D5D14"/>
    <w:rsid w:val="07654A81"/>
    <w:rsid w:val="077B5ED1"/>
    <w:rsid w:val="078A3BBD"/>
    <w:rsid w:val="07AD4725"/>
    <w:rsid w:val="07E449FC"/>
    <w:rsid w:val="07FC451E"/>
    <w:rsid w:val="08495D95"/>
    <w:rsid w:val="085778F4"/>
    <w:rsid w:val="088F52B7"/>
    <w:rsid w:val="089668BD"/>
    <w:rsid w:val="09154D15"/>
    <w:rsid w:val="094479FC"/>
    <w:rsid w:val="09904F9A"/>
    <w:rsid w:val="09EA021C"/>
    <w:rsid w:val="0A6C1B54"/>
    <w:rsid w:val="0AF93CAF"/>
    <w:rsid w:val="0B893417"/>
    <w:rsid w:val="0BED73E9"/>
    <w:rsid w:val="0C0F78D6"/>
    <w:rsid w:val="0C9F3C55"/>
    <w:rsid w:val="0CB676D1"/>
    <w:rsid w:val="0CD86A14"/>
    <w:rsid w:val="0D1B6DAC"/>
    <w:rsid w:val="0D521F0C"/>
    <w:rsid w:val="0D654D84"/>
    <w:rsid w:val="0DAA1CD0"/>
    <w:rsid w:val="0DAD21CC"/>
    <w:rsid w:val="0E3A23A9"/>
    <w:rsid w:val="0E66642F"/>
    <w:rsid w:val="0E736A75"/>
    <w:rsid w:val="0E97723B"/>
    <w:rsid w:val="0EC30BD8"/>
    <w:rsid w:val="0EC74C8F"/>
    <w:rsid w:val="0EE35A58"/>
    <w:rsid w:val="0F0A34FC"/>
    <w:rsid w:val="0F431B74"/>
    <w:rsid w:val="0F4A68E9"/>
    <w:rsid w:val="100A7DA6"/>
    <w:rsid w:val="101C262F"/>
    <w:rsid w:val="10834181"/>
    <w:rsid w:val="109D46D9"/>
    <w:rsid w:val="10D105B1"/>
    <w:rsid w:val="11316F6F"/>
    <w:rsid w:val="11774FEF"/>
    <w:rsid w:val="11993CB2"/>
    <w:rsid w:val="11C65BB9"/>
    <w:rsid w:val="11EB7063"/>
    <w:rsid w:val="11ED7D1A"/>
    <w:rsid w:val="123E6492"/>
    <w:rsid w:val="12481185"/>
    <w:rsid w:val="12563DA2"/>
    <w:rsid w:val="12651D1F"/>
    <w:rsid w:val="12783CAA"/>
    <w:rsid w:val="129350FC"/>
    <w:rsid w:val="130123FC"/>
    <w:rsid w:val="13120071"/>
    <w:rsid w:val="13712C1D"/>
    <w:rsid w:val="13837447"/>
    <w:rsid w:val="138D7EAE"/>
    <w:rsid w:val="13E457A7"/>
    <w:rsid w:val="13F2184E"/>
    <w:rsid w:val="140837F0"/>
    <w:rsid w:val="14244FAE"/>
    <w:rsid w:val="143D4848"/>
    <w:rsid w:val="145F7878"/>
    <w:rsid w:val="14723295"/>
    <w:rsid w:val="14997A76"/>
    <w:rsid w:val="14BD2613"/>
    <w:rsid w:val="14BE2B68"/>
    <w:rsid w:val="15124B2B"/>
    <w:rsid w:val="152344AD"/>
    <w:rsid w:val="153473C8"/>
    <w:rsid w:val="153C3FF1"/>
    <w:rsid w:val="1551161E"/>
    <w:rsid w:val="1558727E"/>
    <w:rsid w:val="15941D3C"/>
    <w:rsid w:val="15A831B9"/>
    <w:rsid w:val="15EC4E65"/>
    <w:rsid w:val="16204C32"/>
    <w:rsid w:val="16FB39BF"/>
    <w:rsid w:val="17146CDE"/>
    <w:rsid w:val="17300C27"/>
    <w:rsid w:val="177175B4"/>
    <w:rsid w:val="179A4CE0"/>
    <w:rsid w:val="18241193"/>
    <w:rsid w:val="18590D7E"/>
    <w:rsid w:val="18BA5817"/>
    <w:rsid w:val="18D710AA"/>
    <w:rsid w:val="19723702"/>
    <w:rsid w:val="19831906"/>
    <w:rsid w:val="19BB2A3B"/>
    <w:rsid w:val="19D94062"/>
    <w:rsid w:val="1A117C87"/>
    <w:rsid w:val="1A1A46EF"/>
    <w:rsid w:val="1AF26A08"/>
    <w:rsid w:val="1B2B261A"/>
    <w:rsid w:val="1B530B49"/>
    <w:rsid w:val="1B7232DC"/>
    <w:rsid w:val="1BA65A54"/>
    <w:rsid w:val="1BAF6C49"/>
    <w:rsid w:val="1BB23D1C"/>
    <w:rsid w:val="1C53564D"/>
    <w:rsid w:val="1C544DE2"/>
    <w:rsid w:val="1C6B148D"/>
    <w:rsid w:val="1C7764CA"/>
    <w:rsid w:val="1D395279"/>
    <w:rsid w:val="1DC331CD"/>
    <w:rsid w:val="1DDD0B37"/>
    <w:rsid w:val="1DF01861"/>
    <w:rsid w:val="1E122CC9"/>
    <w:rsid w:val="1E1A2B26"/>
    <w:rsid w:val="1E1C6AEE"/>
    <w:rsid w:val="1E5F7401"/>
    <w:rsid w:val="1E6608FD"/>
    <w:rsid w:val="1E755075"/>
    <w:rsid w:val="1E9507E8"/>
    <w:rsid w:val="1E99653F"/>
    <w:rsid w:val="1EAB18E9"/>
    <w:rsid w:val="1ED0160C"/>
    <w:rsid w:val="1F7F661A"/>
    <w:rsid w:val="1F8016CD"/>
    <w:rsid w:val="1FAE7E37"/>
    <w:rsid w:val="1FF90EA8"/>
    <w:rsid w:val="1FFF5A3E"/>
    <w:rsid w:val="202B6815"/>
    <w:rsid w:val="20456F75"/>
    <w:rsid w:val="20636420"/>
    <w:rsid w:val="20EB6018"/>
    <w:rsid w:val="20FD5D65"/>
    <w:rsid w:val="210B1868"/>
    <w:rsid w:val="2148349B"/>
    <w:rsid w:val="21AE1477"/>
    <w:rsid w:val="21B63B4C"/>
    <w:rsid w:val="21B9652C"/>
    <w:rsid w:val="21EC0868"/>
    <w:rsid w:val="221E32E3"/>
    <w:rsid w:val="225720B7"/>
    <w:rsid w:val="2278096D"/>
    <w:rsid w:val="22E358ED"/>
    <w:rsid w:val="22EC3D1B"/>
    <w:rsid w:val="22ED3472"/>
    <w:rsid w:val="22FB2CD0"/>
    <w:rsid w:val="2369136E"/>
    <w:rsid w:val="23D7147C"/>
    <w:rsid w:val="24D02F42"/>
    <w:rsid w:val="24E4184D"/>
    <w:rsid w:val="253F6216"/>
    <w:rsid w:val="254430AD"/>
    <w:rsid w:val="26140E43"/>
    <w:rsid w:val="267F6C77"/>
    <w:rsid w:val="26EF760D"/>
    <w:rsid w:val="272E5C78"/>
    <w:rsid w:val="27304950"/>
    <w:rsid w:val="275A7DAD"/>
    <w:rsid w:val="27E2266C"/>
    <w:rsid w:val="27E766B4"/>
    <w:rsid w:val="28053500"/>
    <w:rsid w:val="2880066F"/>
    <w:rsid w:val="289F4F2F"/>
    <w:rsid w:val="28A707D9"/>
    <w:rsid w:val="29111366"/>
    <w:rsid w:val="2987511D"/>
    <w:rsid w:val="29B65A87"/>
    <w:rsid w:val="29EF5D9F"/>
    <w:rsid w:val="2A28754C"/>
    <w:rsid w:val="2A8813C8"/>
    <w:rsid w:val="2A95793A"/>
    <w:rsid w:val="2ABF5CF5"/>
    <w:rsid w:val="2ACD4553"/>
    <w:rsid w:val="2AD10625"/>
    <w:rsid w:val="2AE90CA5"/>
    <w:rsid w:val="2AF94242"/>
    <w:rsid w:val="2B094F5C"/>
    <w:rsid w:val="2B130F50"/>
    <w:rsid w:val="2B2D3452"/>
    <w:rsid w:val="2B3B03D9"/>
    <w:rsid w:val="2B9E5FA5"/>
    <w:rsid w:val="2BBB4679"/>
    <w:rsid w:val="2BD7593F"/>
    <w:rsid w:val="2BE90E7B"/>
    <w:rsid w:val="2C4A6E89"/>
    <w:rsid w:val="2C5521ED"/>
    <w:rsid w:val="2C5B3B8E"/>
    <w:rsid w:val="2D1305FC"/>
    <w:rsid w:val="2D147B7F"/>
    <w:rsid w:val="2D3941B9"/>
    <w:rsid w:val="2D6E2772"/>
    <w:rsid w:val="2E147B50"/>
    <w:rsid w:val="2E8E451A"/>
    <w:rsid w:val="2F2D19A1"/>
    <w:rsid w:val="2F5078DE"/>
    <w:rsid w:val="2FDB3F3B"/>
    <w:rsid w:val="30277E14"/>
    <w:rsid w:val="3042051E"/>
    <w:rsid w:val="30515F3A"/>
    <w:rsid w:val="306E4CDD"/>
    <w:rsid w:val="30942CE3"/>
    <w:rsid w:val="309E3670"/>
    <w:rsid w:val="30E77F1D"/>
    <w:rsid w:val="31125AB9"/>
    <w:rsid w:val="316B3D10"/>
    <w:rsid w:val="31797092"/>
    <w:rsid w:val="317A7917"/>
    <w:rsid w:val="324C6AA5"/>
    <w:rsid w:val="32827937"/>
    <w:rsid w:val="32BE006D"/>
    <w:rsid w:val="32D652A2"/>
    <w:rsid w:val="333A7947"/>
    <w:rsid w:val="33773A96"/>
    <w:rsid w:val="33FC3F93"/>
    <w:rsid w:val="343578E4"/>
    <w:rsid w:val="34650E87"/>
    <w:rsid w:val="347618DF"/>
    <w:rsid w:val="34B13BBD"/>
    <w:rsid w:val="34C41E5A"/>
    <w:rsid w:val="34CF16A6"/>
    <w:rsid w:val="34CF25A7"/>
    <w:rsid w:val="34D13620"/>
    <w:rsid w:val="352716B0"/>
    <w:rsid w:val="3534013F"/>
    <w:rsid w:val="35555A37"/>
    <w:rsid w:val="35AE7358"/>
    <w:rsid w:val="35CE28CF"/>
    <w:rsid w:val="362E3797"/>
    <w:rsid w:val="363B0724"/>
    <w:rsid w:val="3651490C"/>
    <w:rsid w:val="369348A2"/>
    <w:rsid w:val="36EE5219"/>
    <w:rsid w:val="37016E14"/>
    <w:rsid w:val="374B2C60"/>
    <w:rsid w:val="37F15B8E"/>
    <w:rsid w:val="37F94487"/>
    <w:rsid w:val="38314E19"/>
    <w:rsid w:val="387F1FBD"/>
    <w:rsid w:val="3888348C"/>
    <w:rsid w:val="38F03B49"/>
    <w:rsid w:val="399C34DB"/>
    <w:rsid w:val="39AD667D"/>
    <w:rsid w:val="39DD3BAF"/>
    <w:rsid w:val="39E35916"/>
    <w:rsid w:val="39E3706C"/>
    <w:rsid w:val="39E46C04"/>
    <w:rsid w:val="3A21761E"/>
    <w:rsid w:val="3A416E1A"/>
    <w:rsid w:val="3A6E365C"/>
    <w:rsid w:val="3AB3413E"/>
    <w:rsid w:val="3ACD4B55"/>
    <w:rsid w:val="3B3A322A"/>
    <w:rsid w:val="3B841317"/>
    <w:rsid w:val="3B85171C"/>
    <w:rsid w:val="3C993BA7"/>
    <w:rsid w:val="3CAB7B62"/>
    <w:rsid w:val="3CDE3971"/>
    <w:rsid w:val="3CE35B6B"/>
    <w:rsid w:val="3CFC0BEA"/>
    <w:rsid w:val="3CFD1B5A"/>
    <w:rsid w:val="3D382CAA"/>
    <w:rsid w:val="3D9E4DAE"/>
    <w:rsid w:val="3DBC7C42"/>
    <w:rsid w:val="3DC62339"/>
    <w:rsid w:val="3E160907"/>
    <w:rsid w:val="3E1874EA"/>
    <w:rsid w:val="3E307816"/>
    <w:rsid w:val="3E5F2DF1"/>
    <w:rsid w:val="3E8A0B07"/>
    <w:rsid w:val="3ED62510"/>
    <w:rsid w:val="3F32526E"/>
    <w:rsid w:val="3F8A2A7F"/>
    <w:rsid w:val="3F924435"/>
    <w:rsid w:val="3FC63E08"/>
    <w:rsid w:val="3FE07952"/>
    <w:rsid w:val="4006639B"/>
    <w:rsid w:val="40690656"/>
    <w:rsid w:val="40766D9A"/>
    <w:rsid w:val="40766FED"/>
    <w:rsid w:val="40856D49"/>
    <w:rsid w:val="40B3640A"/>
    <w:rsid w:val="411436CC"/>
    <w:rsid w:val="412C06B3"/>
    <w:rsid w:val="4135276C"/>
    <w:rsid w:val="41601E36"/>
    <w:rsid w:val="416B4F0D"/>
    <w:rsid w:val="41CA39ED"/>
    <w:rsid w:val="41E716AB"/>
    <w:rsid w:val="42391390"/>
    <w:rsid w:val="42B61BAF"/>
    <w:rsid w:val="42F64946"/>
    <w:rsid w:val="431900FC"/>
    <w:rsid w:val="433E6EBB"/>
    <w:rsid w:val="43C44606"/>
    <w:rsid w:val="442D4E0F"/>
    <w:rsid w:val="443B3A2C"/>
    <w:rsid w:val="4440681A"/>
    <w:rsid w:val="447973E4"/>
    <w:rsid w:val="4483472C"/>
    <w:rsid w:val="449456B3"/>
    <w:rsid w:val="44D932F7"/>
    <w:rsid w:val="45260DC6"/>
    <w:rsid w:val="458E3796"/>
    <w:rsid w:val="45EF58DB"/>
    <w:rsid w:val="460E3FAA"/>
    <w:rsid w:val="46580332"/>
    <w:rsid w:val="46A41E9D"/>
    <w:rsid w:val="47110E75"/>
    <w:rsid w:val="4719220C"/>
    <w:rsid w:val="471D569C"/>
    <w:rsid w:val="47375C61"/>
    <w:rsid w:val="47380F5A"/>
    <w:rsid w:val="47B90DD0"/>
    <w:rsid w:val="47F4739C"/>
    <w:rsid w:val="4868269A"/>
    <w:rsid w:val="487D3D49"/>
    <w:rsid w:val="48881256"/>
    <w:rsid w:val="48AC64A7"/>
    <w:rsid w:val="48CD04F4"/>
    <w:rsid w:val="4928757E"/>
    <w:rsid w:val="494F5E9D"/>
    <w:rsid w:val="499E28C7"/>
    <w:rsid w:val="49D666B2"/>
    <w:rsid w:val="49E12970"/>
    <w:rsid w:val="4A016BA8"/>
    <w:rsid w:val="4A17677F"/>
    <w:rsid w:val="4A3C1FC3"/>
    <w:rsid w:val="4B00139D"/>
    <w:rsid w:val="4B2662C0"/>
    <w:rsid w:val="4B5278E4"/>
    <w:rsid w:val="4B6E4662"/>
    <w:rsid w:val="4B7B152A"/>
    <w:rsid w:val="4B9D57AE"/>
    <w:rsid w:val="4BEC3B29"/>
    <w:rsid w:val="4C4E3E0C"/>
    <w:rsid w:val="4CC52BC7"/>
    <w:rsid w:val="4CCC057A"/>
    <w:rsid w:val="4DE608A8"/>
    <w:rsid w:val="4DF90509"/>
    <w:rsid w:val="4E047896"/>
    <w:rsid w:val="4E125244"/>
    <w:rsid w:val="4E383FB9"/>
    <w:rsid w:val="4E751710"/>
    <w:rsid w:val="4F992E7E"/>
    <w:rsid w:val="4FC156A8"/>
    <w:rsid w:val="4FCB1F4D"/>
    <w:rsid w:val="4FD1157E"/>
    <w:rsid w:val="50592F1E"/>
    <w:rsid w:val="50797D7C"/>
    <w:rsid w:val="51503A03"/>
    <w:rsid w:val="516C6F7A"/>
    <w:rsid w:val="516D1631"/>
    <w:rsid w:val="51D35571"/>
    <w:rsid w:val="51D52CCC"/>
    <w:rsid w:val="51E37EAB"/>
    <w:rsid w:val="52AA5A1F"/>
    <w:rsid w:val="52D2670B"/>
    <w:rsid w:val="52D53F98"/>
    <w:rsid w:val="52F46643"/>
    <w:rsid w:val="531C13A1"/>
    <w:rsid w:val="5333778C"/>
    <w:rsid w:val="53AC1BB1"/>
    <w:rsid w:val="53F43F83"/>
    <w:rsid w:val="53FE2610"/>
    <w:rsid w:val="5406072E"/>
    <w:rsid w:val="543D408A"/>
    <w:rsid w:val="54AC0A86"/>
    <w:rsid w:val="54DB397F"/>
    <w:rsid w:val="54E948A2"/>
    <w:rsid w:val="5549799F"/>
    <w:rsid w:val="557B7916"/>
    <w:rsid w:val="559018DB"/>
    <w:rsid w:val="55E66844"/>
    <w:rsid w:val="55E95C8C"/>
    <w:rsid w:val="56C522AC"/>
    <w:rsid w:val="573056AB"/>
    <w:rsid w:val="57412AF9"/>
    <w:rsid w:val="57710627"/>
    <w:rsid w:val="57D94138"/>
    <w:rsid w:val="586B5BC1"/>
    <w:rsid w:val="58CA6F24"/>
    <w:rsid w:val="58FF06AA"/>
    <w:rsid w:val="59251DC0"/>
    <w:rsid w:val="594E062C"/>
    <w:rsid w:val="596840C4"/>
    <w:rsid w:val="599E7F9F"/>
    <w:rsid w:val="5A4029C1"/>
    <w:rsid w:val="5B9A63BD"/>
    <w:rsid w:val="5BA3349B"/>
    <w:rsid w:val="5BC77B4E"/>
    <w:rsid w:val="5BCE2CDC"/>
    <w:rsid w:val="5BDE23B5"/>
    <w:rsid w:val="5BF9501C"/>
    <w:rsid w:val="5BFE21F0"/>
    <w:rsid w:val="5C2124B0"/>
    <w:rsid w:val="5C97356F"/>
    <w:rsid w:val="5CD47A62"/>
    <w:rsid w:val="5D014195"/>
    <w:rsid w:val="5D0A55A6"/>
    <w:rsid w:val="5D6F7111"/>
    <w:rsid w:val="5DAE1119"/>
    <w:rsid w:val="5DC04888"/>
    <w:rsid w:val="5DFD5F61"/>
    <w:rsid w:val="5E4B1C14"/>
    <w:rsid w:val="5E731732"/>
    <w:rsid w:val="5EED20C3"/>
    <w:rsid w:val="5F136184"/>
    <w:rsid w:val="5F77061C"/>
    <w:rsid w:val="5F92219D"/>
    <w:rsid w:val="5FBC3CBA"/>
    <w:rsid w:val="603C6870"/>
    <w:rsid w:val="607E02F5"/>
    <w:rsid w:val="60D254CB"/>
    <w:rsid w:val="60DE787A"/>
    <w:rsid w:val="61624DFE"/>
    <w:rsid w:val="61AD13ED"/>
    <w:rsid w:val="61E32A94"/>
    <w:rsid w:val="6201584B"/>
    <w:rsid w:val="632C2B0F"/>
    <w:rsid w:val="6348144B"/>
    <w:rsid w:val="63F413DF"/>
    <w:rsid w:val="649434E8"/>
    <w:rsid w:val="649E1AF0"/>
    <w:rsid w:val="64A256A0"/>
    <w:rsid w:val="64D541F7"/>
    <w:rsid w:val="652551F4"/>
    <w:rsid w:val="65487A8D"/>
    <w:rsid w:val="655A36BD"/>
    <w:rsid w:val="65713F66"/>
    <w:rsid w:val="65C43DDC"/>
    <w:rsid w:val="66843EBD"/>
    <w:rsid w:val="669065E3"/>
    <w:rsid w:val="66C115A4"/>
    <w:rsid w:val="671511A3"/>
    <w:rsid w:val="67742E7D"/>
    <w:rsid w:val="67CC63B1"/>
    <w:rsid w:val="67CF7ABB"/>
    <w:rsid w:val="67FF6686"/>
    <w:rsid w:val="686220A1"/>
    <w:rsid w:val="68C768BF"/>
    <w:rsid w:val="692A26BA"/>
    <w:rsid w:val="69867FFC"/>
    <w:rsid w:val="699C441F"/>
    <w:rsid w:val="69AA6253"/>
    <w:rsid w:val="6A013596"/>
    <w:rsid w:val="6A466EAA"/>
    <w:rsid w:val="6ADE4C83"/>
    <w:rsid w:val="6AF74551"/>
    <w:rsid w:val="6B510297"/>
    <w:rsid w:val="6B66715B"/>
    <w:rsid w:val="6B7B09D7"/>
    <w:rsid w:val="6BDB60EC"/>
    <w:rsid w:val="6C1C1654"/>
    <w:rsid w:val="6CF36CC9"/>
    <w:rsid w:val="6D8B7A3D"/>
    <w:rsid w:val="6E223B72"/>
    <w:rsid w:val="6E9A7146"/>
    <w:rsid w:val="6E9F63B3"/>
    <w:rsid w:val="6EB64F01"/>
    <w:rsid w:val="6EFD3E15"/>
    <w:rsid w:val="6F162F26"/>
    <w:rsid w:val="6F2348DF"/>
    <w:rsid w:val="6F7C10BB"/>
    <w:rsid w:val="6FAE3D10"/>
    <w:rsid w:val="6FB2613D"/>
    <w:rsid w:val="70ED4CF8"/>
    <w:rsid w:val="71B920CE"/>
    <w:rsid w:val="71BC295D"/>
    <w:rsid w:val="71DE2A30"/>
    <w:rsid w:val="71E2167E"/>
    <w:rsid w:val="71F6799D"/>
    <w:rsid w:val="72107E22"/>
    <w:rsid w:val="723D5701"/>
    <w:rsid w:val="72441926"/>
    <w:rsid w:val="72564285"/>
    <w:rsid w:val="72AE4572"/>
    <w:rsid w:val="732A1FED"/>
    <w:rsid w:val="73FC1806"/>
    <w:rsid w:val="740854D8"/>
    <w:rsid w:val="740B3831"/>
    <w:rsid w:val="74165FEC"/>
    <w:rsid w:val="74B309BE"/>
    <w:rsid w:val="74F963CB"/>
    <w:rsid w:val="75FF4712"/>
    <w:rsid w:val="762F720C"/>
    <w:rsid w:val="76401071"/>
    <w:rsid w:val="76864FCF"/>
    <w:rsid w:val="76911FDD"/>
    <w:rsid w:val="76B8270C"/>
    <w:rsid w:val="7725228B"/>
    <w:rsid w:val="77343151"/>
    <w:rsid w:val="77433450"/>
    <w:rsid w:val="77835B68"/>
    <w:rsid w:val="78202AAC"/>
    <w:rsid w:val="7821159C"/>
    <w:rsid w:val="7865622F"/>
    <w:rsid w:val="78684F03"/>
    <w:rsid w:val="78C04BA9"/>
    <w:rsid w:val="79072C5E"/>
    <w:rsid w:val="79203832"/>
    <w:rsid w:val="7A047EC2"/>
    <w:rsid w:val="7A0D7E33"/>
    <w:rsid w:val="7A3B6982"/>
    <w:rsid w:val="7A8C0B82"/>
    <w:rsid w:val="7AB85A51"/>
    <w:rsid w:val="7AC212AA"/>
    <w:rsid w:val="7AC70F02"/>
    <w:rsid w:val="7AFC3FF3"/>
    <w:rsid w:val="7B3E47ED"/>
    <w:rsid w:val="7B427813"/>
    <w:rsid w:val="7B8B69CC"/>
    <w:rsid w:val="7BAC619D"/>
    <w:rsid w:val="7BCE3B4C"/>
    <w:rsid w:val="7CB13CB2"/>
    <w:rsid w:val="7CB60BF3"/>
    <w:rsid w:val="7CD81FFB"/>
    <w:rsid w:val="7D197C64"/>
    <w:rsid w:val="7D4C6DC5"/>
    <w:rsid w:val="7D78613E"/>
    <w:rsid w:val="7DA04CC5"/>
    <w:rsid w:val="7DD5065C"/>
    <w:rsid w:val="7E3D4C8E"/>
    <w:rsid w:val="7E640C3C"/>
    <w:rsid w:val="7E9E24BF"/>
    <w:rsid w:val="7EDB02A5"/>
    <w:rsid w:val="7F7F0AB2"/>
    <w:rsid w:val="7F7F778E"/>
    <w:rsid w:val="7FCD66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宋体"/>
      <w:sz w:val="24"/>
      <w:szCs w:val="24"/>
      <w:lang w:val="en-US" w:eastAsia="zh-CN" w:bidi="ar-SA"/>
    </w:rPr>
  </w:style>
  <w:style w:type="paragraph" w:styleId="2">
    <w:name w:val="heading 3"/>
    <w:basedOn w:val="1"/>
    <w:next w:val="1"/>
    <w:qFormat/>
    <w:uiPriority w:val="0"/>
    <w:pPr>
      <w:spacing w:beforeAutospacing="1" w:afterAutospacing="1"/>
      <w:outlineLvl w:val="2"/>
    </w:pPr>
    <w:rPr>
      <w:rFonts w:hint="eastAsia" w:ascii="宋体" w:hAnsi="宋体"/>
      <w:b/>
      <w:sz w:val="27"/>
      <w:szCs w:val="27"/>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5">
    <w:name w:val="Normal (Web)"/>
    <w:basedOn w:val="1"/>
    <w:qFormat/>
    <w:uiPriority w:val="0"/>
    <w:pPr>
      <w:spacing w:beforeAutospacing="1" w:afterAutospacing="1"/>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font01"/>
    <w:basedOn w:val="8"/>
    <w:qFormat/>
    <w:uiPriority w:val="0"/>
    <w:rPr>
      <w:rFonts w:hint="eastAsia" w:ascii="仿宋" w:hAnsi="仿宋" w:eastAsia="仿宋" w:cs="仿宋"/>
      <w:color w:val="000000"/>
      <w:sz w:val="24"/>
      <w:szCs w:val="24"/>
      <w:u w:val="none"/>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1451</Words>
  <Characters>8276</Characters>
  <Lines>68</Lines>
  <Paragraphs>19</Paragraphs>
  <TotalTime>5</TotalTime>
  <ScaleCrop>false</ScaleCrop>
  <LinksUpToDate>false</LinksUpToDate>
  <CharactersWithSpaces>9708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2020-02-28T10:03:00Z</dcterms:created>
  <dc:creator>加明</dc:creator>
  <cp:lastModifiedBy>加明</cp:lastModifiedBy>
  <dcterms:modified xsi:type="dcterms:W3CDTF">2020-03-21T09:59:41Z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